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A45A" w14:textId="2E537355" w:rsidR="00154F00" w:rsidRDefault="00154F00" w:rsidP="00DF52E5">
      <w:pPr>
        <w:jc w:val="right"/>
        <w:rPr>
          <w:rFonts w:asciiTheme="majorHAnsi" w:hAnsiTheme="majorHAnsi" w:cstheme="majorHAnsi"/>
        </w:rPr>
      </w:pPr>
      <w:r w:rsidRPr="00154F00">
        <w:rPr>
          <w:rFonts w:asciiTheme="majorHAnsi" w:hAnsiTheme="majorHAnsi" w:cstheme="majorHAnsi"/>
        </w:rPr>
        <w:t>Warszawa</w:t>
      </w:r>
      <w:r w:rsidR="00154EBB">
        <w:rPr>
          <w:rFonts w:asciiTheme="majorHAnsi" w:hAnsiTheme="majorHAnsi" w:cstheme="majorHAnsi"/>
        </w:rPr>
        <w:t xml:space="preserve">, </w:t>
      </w:r>
      <w:r w:rsidR="0057416E">
        <w:rPr>
          <w:rFonts w:asciiTheme="majorHAnsi" w:hAnsiTheme="majorHAnsi" w:cstheme="majorHAnsi"/>
        </w:rPr>
        <w:t>2</w:t>
      </w:r>
      <w:r w:rsidR="008C3E0D">
        <w:rPr>
          <w:rFonts w:asciiTheme="majorHAnsi" w:hAnsiTheme="majorHAnsi" w:cstheme="majorHAnsi"/>
        </w:rPr>
        <w:t>3</w:t>
      </w:r>
      <w:r w:rsidR="00154EBB">
        <w:rPr>
          <w:rFonts w:asciiTheme="majorHAnsi" w:hAnsiTheme="majorHAnsi" w:cstheme="majorHAnsi"/>
        </w:rPr>
        <w:t xml:space="preserve"> kwietnia</w:t>
      </w:r>
      <w:r w:rsidRPr="00154F00">
        <w:rPr>
          <w:rFonts w:asciiTheme="majorHAnsi" w:hAnsiTheme="majorHAnsi" w:cstheme="majorHAnsi"/>
        </w:rPr>
        <w:t xml:space="preserve"> 20</w:t>
      </w:r>
      <w:r w:rsidR="00154EBB">
        <w:rPr>
          <w:rFonts w:asciiTheme="majorHAnsi" w:hAnsiTheme="majorHAnsi" w:cstheme="majorHAnsi"/>
        </w:rPr>
        <w:t>20</w:t>
      </w:r>
      <w:r w:rsidRPr="00154F00">
        <w:rPr>
          <w:rFonts w:asciiTheme="majorHAnsi" w:hAnsiTheme="majorHAnsi" w:cstheme="majorHAnsi"/>
        </w:rPr>
        <w:t xml:space="preserve"> r.</w:t>
      </w:r>
    </w:p>
    <w:p w14:paraId="603AFADF" w14:textId="77777777" w:rsidR="009D4076" w:rsidRDefault="009D4076" w:rsidP="008179DE">
      <w:pPr>
        <w:rPr>
          <w:rFonts w:asciiTheme="majorHAnsi" w:hAnsiTheme="majorHAnsi" w:cstheme="majorHAnsi"/>
          <w:b/>
          <w:sz w:val="24"/>
          <w:szCs w:val="24"/>
        </w:rPr>
      </w:pPr>
    </w:p>
    <w:p w14:paraId="73D86405" w14:textId="3100D096" w:rsidR="00B02560" w:rsidRPr="00B02560" w:rsidRDefault="00CA35FC" w:rsidP="00B02560">
      <w:pPr>
        <w:jc w:val="center"/>
        <w:rPr>
          <w:rFonts w:asciiTheme="majorHAnsi" w:hAnsiTheme="majorHAnsi" w:cstheme="majorHAnsi"/>
          <w:b/>
          <w:sz w:val="24"/>
          <w:szCs w:val="24"/>
        </w:rPr>
      </w:pPr>
      <w:r>
        <w:rPr>
          <w:rFonts w:asciiTheme="majorHAnsi" w:hAnsiTheme="majorHAnsi" w:cstheme="majorHAnsi"/>
          <w:b/>
          <w:sz w:val="24"/>
          <w:szCs w:val="24"/>
        </w:rPr>
        <w:t xml:space="preserve">Czy Polacy wiedzą, jak </w:t>
      </w:r>
      <w:r w:rsidR="00B02560">
        <w:rPr>
          <w:rFonts w:asciiTheme="majorHAnsi" w:hAnsiTheme="majorHAnsi" w:cstheme="majorHAnsi"/>
          <w:b/>
          <w:sz w:val="24"/>
          <w:szCs w:val="24"/>
        </w:rPr>
        <w:t>postępować</w:t>
      </w:r>
      <w:r>
        <w:rPr>
          <w:rFonts w:asciiTheme="majorHAnsi" w:hAnsiTheme="majorHAnsi" w:cstheme="majorHAnsi"/>
          <w:b/>
          <w:sz w:val="24"/>
          <w:szCs w:val="24"/>
        </w:rPr>
        <w:t xml:space="preserve"> z żywnością w dobie pandemii COVID-19?</w:t>
      </w:r>
    </w:p>
    <w:p w14:paraId="4A80A9FF" w14:textId="77777777" w:rsidR="00B02560" w:rsidRDefault="00B02560" w:rsidP="009653BE">
      <w:pPr>
        <w:jc w:val="both"/>
        <w:rPr>
          <w:rFonts w:asciiTheme="majorHAnsi" w:hAnsiTheme="majorHAnsi" w:cstheme="majorHAnsi"/>
          <w:b/>
        </w:rPr>
      </w:pPr>
    </w:p>
    <w:p w14:paraId="7F64E4C0" w14:textId="4C293579" w:rsidR="00154EBB" w:rsidRPr="008E3022" w:rsidRDefault="00B02560" w:rsidP="009653BE">
      <w:pPr>
        <w:jc w:val="both"/>
        <w:rPr>
          <w:rFonts w:asciiTheme="majorHAnsi" w:hAnsiTheme="majorHAnsi" w:cstheme="majorHAnsi"/>
          <w:b/>
        </w:rPr>
      </w:pPr>
      <w:r>
        <w:rPr>
          <w:rFonts w:asciiTheme="majorHAnsi" w:hAnsiTheme="majorHAnsi" w:cstheme="majorHAnsi"/>
          <w:b/>
        </w:rPr>
        <w:t xml:space="preserve">Według oficjalnego stanowiska FDA, </w:t>
      </w:r>
      <w:r w:rsidR="00483119">
        <w:rPr>
          <w:rFonts w:asciiTheme="majorHAnsi" w:hAnsiTheme="majorHAnsi" w:cstheme="majorHAnsi"/>
          <w:b/>
        </w:rPr>
        <w:t xml:space="preserve">obecnie </w:t>
      </w:r>
      <w:r w:rsidR="002B7C80" w:rsidRPr="002B7C80">
        <w:rPr>
          <w:rFonts w:asciiTheme="majorHAnsi" w:hAnsiTheme="majorHAnsi" w:cstheme="majorHAnsi"/>
          <w:b/>
        </w:rPr>
        <w:t>nie ma</w:t>
      </w:r>
      <w:r w:rsidR="002B7C80">
        <w:rPr>
          <w:rFonts w:asciiTheme="majorHAnsi" w:hAnsiTheme="majorHAnsi" w:cstheme="majorHAnsi"/>
          <w:b/>
        </w:rPr>
        <w:t xml:space="preserve"> </w:t>
      </w:r>
      <w:r w:rsidR="002B7C80" w:rsidRPr="002B7C80">
        <w:rPr>
          <w:rFonts w:asciiTheme="majorHAnsi" w:hAnsiTheme="majorHAnsi" w:cstheme="majorHAnsi"/>
          <w:b/>
        </w:rPr>
        <w:t xml:space="preserve">dowodów na powiązanie żywności lub </w:t>
      </w:r>
      <w:r w:rsidR="002B7C80" w:rsidRPr="007A4E67">
        <w:rPr>
          <w:rFonts w:asciiTheme="majorHAnsi" w:hAnsiTheme="majorHAnsi" w:cstheme="majorHAnsi"/>
          <w:b/>
        </w:rPr>
        <w:t>opakowań żywności z przenoszeniem</w:t>
      </w:r>
      <w:r w:rsidR="002B7C80" w:rsidRPr="002B7C80">
        <w:rPr>
          <w:rFonts w:asciiTheme="majorHAnsi" w:hAnsiTheme="majorHAnsi" w:cstheme="majorHAnsi"/>
          <w:b/>
        </w:rPr>
        <w:t xml:space="preserve"> COVID-19</w:t>
      </w:r>
      <w:r>
        <w:rPr>
          <w:rStyle w:val="Odwoanieprzypisudolnego"/>
          <w:rFonts w:asciiTheme="majorHAnsi" w:hAnsiTheme="majorHAnsi" w:cstheme="majorHAnsi"/>
          <w:b/>
        </w:rPr>
        <w:footnoteReference w:id="2"/>
      </w:r>
      <w:r w:rsidR="002B7C80" w:rsidRPr="002B7C80">
        <w:rPr>
          <w:rFonts w:asciiTheme="majorHAnsi" w:hAnsiTheme="majorHAnsi" w:cstheme="majorHAnsi"/>
          <w:b/>
        </w:rPr>
        <w:t>.</w:t>
      </w:r>
      <w:r w:rsidR="002B7C80">
        <w:rPr>
          <w:rFonts w:asciiTheme="majorHAnsi" w:hAnsiTheme="majorHAnsi" w:cstheme="majorHAnsi"/>
          <w:b/>
        </w:rPr>
        <w:t xml:space="preserve"> J</w:t>
      </w:r>
      <w:r w:rsidR="009653BE">
        <w:rPr>
          <w:rFonts w:asciiTheme="majorHAnsi" w:hAnsiTheme="majorHAnsi" w:cstheme="majorHAnsi"/>
          <w:b/>
        </w:rPr>
        <w:t xml:space="preserve">ednak </w:t>
      </w:r>
      <w:r>
        <w:rPr>
          <w:rFonts w:asciiTheme="majorHAnsi" w:hAnsiTheme="majorHAnsi" w:cstheme="majorHAnsi"/>
          <w:b/>
        </w:rPr>
        <w:t xml:space="preserve">jak </w:t>
      </w:r>
      <w:r w:rsidR="00410805">
        <w:rPr>
          <w:rFonts w:asciiTheme="majorHAnsi" w:hAnsiTheme="majorHAnsi" w:cstheme="majorHAnsi"/>
          <w:b/>
        </w:rPr>
        <w:t xml:space="preserve">już </w:t>
      </w:r>
      <w:r>
        <w:rPr>
          <w:rFonts w:asciiTheme="majorHAnsi" w:hAnsiTheme="majorHAnsi" w:cstheme="majorHAnsi"/>
          <w:b/>
        </w:rPr>
        <w:t xml:space="preserve">wiemy, </w:t>
      </w:r>
      <w:r w:rsidR="00E1165E">
        <w:rPr>
          <w:rFonts w:asciiTheme="majorHAnsi" w:hAnsiTheme="majorHAnsi" w:cstheme="majorHAnsi"/>
          <w:b/>
        </w:rPr>
        <w:t xml:space="preserve">wirus </w:t>
      </w:r>
      <w:r w:rsidR="00E1165E" w:rsidRPr="00E1165E">
        <w:rPr>
          <w:rFonts w:asciiTheme="majorHAnsi" w:hAnsiTheme="majorHAnsi" w:cstheme="majorHAnsi"/>
          <w:b/>
        </w:rPr>
        <w:t>SARS-CoV-2</w:t>
      </w:r>
      <w:r w:rsidR="00E1165E">
        <w:rPr>
          <w:rFonts w:asciiTheme="majorHAnsi" w:hAnsiTheme="majorHAnsi" w:cstheme="majorHAnsi"/>
          <w:b/>
        </w:rPr>
        <w:t xml:space="preserve"> </w:t>
      </w:r>
      <w:r>
        <w:rPr>
          <w:rFonts w:asciiTheme="majorHAnsi" w:hAnsiTheme="majorHAnsi" w:cstheme="majorHAnsi"/>
          <w:b/>
        </w:rPr>
        <w:t xml:space="preserve">bytuje </w:t>
      </w:r>
      <w:r w:rsidR="00E1165E">
        <w:rPr>
          <w:rFonts w:asciiTheme="majorHAnsi" w:hAnsiTheme="majorHAnsi" w:cstheme="majorHAnsi"/>
          <w:b/>
        </w:rPr>
        <w:t xml:space="preserve">przez określony czas </w:t>
      </w:r>
      <w:r>
        <w:rPr>
          <w:rFonts w:asciiTheme="majorHAnsi" w:hAnsiTheme="majorHAnsi" w:cstheme="majorHAnsi"/>
          <w:b/>
        </w:rPr>
        <w:t>na powierzchni</w:t>
      </w:r>
      <w:r w:rsidR="00E1165E">
        <w:rPr>
          <w:rFonts w:asciiTheme="majorHAnsi" w:hAnsiTheme="majorHAnsi" w:cstheme="majorHAnsi"/>
          <w:b/>
        </w:rPr>
        <w:t>ach, na które dostanie się</w:t>
      </w:r>
      <w:r w:rsidR="00347C71">
        <w:rPr>
          <w:rFonts w:asciiTheme="majorHAnsi" w:hAnsiTheme="majorHAnsi" w:cstheme="majorHAnsi"/>
          <w:b/>
        </w:rPr>
        <w:t xml:space="preserve"> w wyniku kontaktu osoby zarażonej z danym przedmiotem</w:t>
      </w:r>
      <w:r w:rsidR="0057416E">
        <w:rPr>
          <w:rStyle w:val="Odwoanieprzypisudolnego"/>
          <w:rFonts w:asciiTheme="majorHAnsi" w:hAnsiTheme="majorHAnsi" w:cstheme="majorHAnsi"/>
          <w:b/>
        </w:rPr>
        <w:footnoteReference w:id="3"/>
      </w:r>
      <w:r w:rsidR="0024295B" w:rsidRPr="0024295B">
        <w:rPr>
          <w:rStyle w:val="Odwoanieprzypisudolnego"/>
        </w:rPr>
        <w:t>,</w:t>
      </w:r>
      <w:r w:rsidR="0057416E">
        <w:rPr>
          <w:rStyle w:val="Odwoanieprzypisudolnego"/>
          <w:rFonts w:asciiTheme="majorHAnsi" w:hAnsiTheme="majorHAnsi" w:cstheme="majorHAnsi"/>
          <w:b/>
        </w:rPr>
        <w:footnoteReference w:id="4"/>
      </w:r>
      <w:r w:rsidR="00E1165E" w:rsidRPr="0024295B">
        <w:rPr>
          <w:rStyle w:val="Odwoanieprzypisudolnego"/>
        </w:rPr>
        <w:t>.</w:t>
      </w:r>
      <w:r w:rsidR="00E1165E">
        <w:rPr>
          <w:rFonts w:asciiTheme="majorHAnsi" w:hAnsiTheme="majorHAnsi" w:cstheme="majorHAnsi"/>
          <w:b/>
        </w:rPr>
        <w:t xml:space="preserve"> Takim przedmiotem może być </w:t>
      </w:r>
      <w:r w:rsidR="00347C71">
        <w:rPr>
          <w:rFonts w:asciiTheme="majorHAnsi" w:hAnsiTheme="majorHAnsi" w:cstheme="majorHAnsi"/>
          <w:b/>
        </w:rPr>
        <w:t xml:space="preserve">również </w:t>
      </w:r>
      <w:r w:rsidR="00E1165E">
        <w:rPr>
          <w:rFonts w:asciiTheme="majorHAnsi" w:hAnsiTheme="majorHAnsi" w:cstheme="majorHAnsi"/>
          <w:b/>
        </w:rPr>
        <w:t xml:space="preserve">żywność i jej opakowania. </w:t>
      </w:r>
      <w:r w:rsidR="00347C71">
        <w:rPr>
          <w:rFonts w:asciiTheme="majorHAnsi" w:hAnsiTheme="majorHAnsi" w:cstheme="majorHAnsi"/>
          <w:b/>
        </w:rPr>
        <w:t xml:space="preserve">I chociaż większość Polaków świadoma jest tego faktu, to </w:t>
      </w:r>
      <w:r w:rsidR="00154EBB" w:rsidRPr="008E3022">
        <w:rPr>
          <w:rFonts w:asciiTheme="majorHAnsi" w:hAnsiTheme="majorHAnsi" w:cstheme="majorHAnsi"/>
          <w:b/>
        </w:rPr>
        <w:t>wyniki ankiety przeprowadzonej przez agencję PR Hub i Wydział Nauk o Zdrowiu Warszawskiego Uniwersytetu Medycznego</w:t>
      </w:r>
      <w:r w:rsidR="00487A2F">
        <w:rPr>
          <w:rFonts w:asciiTheme="majorHAnsi" w:hAnsiTheme="majorHAnsi" w:cstheme="majorHAnsi"/>
          <w:b/>
        </w:rPr>
        <w:t xml:space="preserve"> </w:t>
      </w:r>
      <w:r w:rsidR="00347C71">
        <w:rPr>
          <w:rFonts w:asciiTheme="majorHAnsi" w:hAnsiTheme="majorHAnsi" w:cstheme="majorHAnsi"/>
          <w:b/>
        </w:rPr>
        <w:t xml:space="preserve">pokazały, że </w:t>
      </w:r>
      <w:r w:rsidR="00487A2F">
        <w:rPr>
          <w:rFonts w:asciiTheme="majorHAnsi" w:hAnsiTheme="majorHAnsi" w:cstheme="majorHAnsi"/>
          <w:b/>
        </w:rPr>
        <w:t xml:space="preserve">ponad połowa </w:t>
      </w:r>
      <w:r w:rsidR="008305B4">
        <w:rPr>
          <w:rFonts w:asciiTheme="majorHAnsi" w:hAnsiTheme="majorHAnsi" w:cstheme="majorHAnsi"/>
          <w:b/>
        </w:rPr>
        <w:t xml:space="preserve">z </w:t>
      </w:r>
      <w:r w:rsidR="005441D5">
        <w:rPr>
          <w:rFonts w:asciiTheme="majorHAnsi" w:hAnsiTheme="majorHAnsi" w:cstheme="majorHAnsi"/>
          <w:b/>
        </w:rPr>
        <w:t xml:space="preserve">respondentów </w:t>
      </w:r>
      <w:r w:rsidR="00622F20" w:rsidRPr="00622F20">
        <w:rPr>
          <w:rFonts w:asciiTheme="majorHAnsi" w:hAnsiTheme="majorHAnsi" w:cstheme="majorHAnsi"/>
          <w:b/>
        </w:rPr>
        <w:t xml:space="preserve">czuje się </w:t>
      </w:r>
      <w:r w:rsidR="00997693">
        <w:rPr>
          <w:rFonts w:asciiTheme="majorHAnsi" w:hAnsiTheme="majorHAnsi" w:cstheme="majorHAnsi"/>
          <w:b/>
        </w:rPr>
        <w:t>niedoinformowana</w:t>
      </w:r>
      <w:r w:rsidR="00622F20" w:rsidRPr="00622F20">
        <w:rPr>
          <w:rFonts w:asciiTheme="majorHAnsi" w:hAnsiTheme="majorHAnsi" w:cstheme="majorHAnsi"/>
          <w:b/>
        </w:rPr>
        <w:t>, w jaki sposób postępować</w:t>
      </w:r>
      <w:r w:rsidR="00347C71">
        <w:rPr>
          <w:rFonts w:asciiTheme="majorHAnsi" w:hAnsiTheme="majorHAnsi" w:cstheme="majorHAnsi"/>
          <w:b/>
        </w:rPr>
        <w:t xml:space="preserve"> z produktami świeżymi, pieczywem, a także opakowaniami produktów spożywczych</w:t>
      </w:r>
      <w:r w:rsidR="00487A2F">
        <w:rPr>
          <w:rStyle w:val="Odwoanieprzypisudolnego"/>
          <w:rFonts w:asciiTheme="majorHAnsi" w:hAnsiTheme="majorHAnsi" w:cstheme="majorHAnsi"/>
          <w:b/>
        </w:rPr>
        <w:footnoteReference w:id="5"/>
      </w:r>
      <w:r w:rsidR="00347C71">
        <w:rPr>
          <w:rFonts w:asciiTheme="majorHAnsi" w:hAnsiTheme="majorHAnsi" w:cstheme="majorHAnsi"/>
          <w:b/>
        </w:rPr>
        <w:t xml:space="preserve"> w dobie pandemii COVID-19</w:t>
      </w:r>
      <w:r w:rsidR="00487A2F">
        <w:rPr>
          <w:rFonts w:asciiTheme="majorHAnsi" w:hAnsiTheme="majorHAnsi" w:cstheme="majorHAnsi"/>
          <w:b/>
        </w:rPr>
        <w:t xml:space="preserve">. </w:t>
      </w:r>
    </w:p>
    <w:p w14:paraId="1A3DC004" w14:textId="77777777" w:rsidR="002B7C80" w:rsidRDefault="002B7C80" w:rsidP="00DF52E5">
      <w:pPr>
        <w:jc w:val="both"/>
        <w:rPr>
          <w:rFonts w:asciiTheme="majorHAnsi" w:hAnsiTheme="majorHAnsi" w:cstheme="majorHAnsi"/>
        </w:rPr>
      </w:pPr>
    </w:p>
    <w:p w14:paraId="2BEADB73" w14:textId="6C3A4A33" w:rsidR="005F1160" w:rsidRDefault="00EA0D11" w:rsidP="00DF52E5">
      <w:pPr>
        <w:jc w:val="both"/>
        <w:rPr>
          <w:rFonts w:asciiTheme="majorHAnsi" w:hAnsiTheme="majorHAnsi" w:cstheme="majorHAnsi"/>
        </w:rPr>
      </w:pPr>
      <w:r>
        <w:rPr>
          <w:rFonts w:asciiTheme="majorHAnsi" w:hAnsiTheme="majorHAnsi" w:cstheme="majorHAnsi"/>
          <w:i/>
          <w:iCs/>
        </w:rPr>
        <w:t xml:space="preserve">Wyniki badania </w:t>
      </w:r>
      <w:r w:rsidR="00E86F97">
        <w:rPr>
          <w:rFonts w:asciiTheme="majorHAnsi" w:hAnsiTheme="majorHAnsi" w:cstheme="majorHAnsi"/>
          <w:i/>
          <w:iCs/>
        </w:rPr>
        <w:t>pokazały</w:t>
      </w:r>
      <w:r>
        <w:rPr>
          <w:rFonts w:asciiTheme="majorHAnsi" w:hAnsiTheme="majorHAnsi" w:cstheme="majorHAnsi"/>
          <w:i/>
          <w:iCs/>
        </w:rPr>
        <w:t>, że Polacy czują się zagubieni, a wiedza o bytowaniu wirusa na różnych powierzchniach nie pociąga za sobą wiedzy w zakresie postępowania</w:t>
      </w:r>
      <w:r w:rsidR="0024295B">
        <w:rPr>
          <w:rFonts w:asciiTheme="majorHAnsi" w:hAnsiTheme="majorHAnsi" w:cstheme="majorHAnsi"/>
          <w:i/>
          <w:iCs/>
        </w:rPr>
        <w:t xml:space="preserve"> z nimi</w:t>
      </w:r>
      <w:r>
        <w:rPr>
          <w:rFonts w:asciiTheme="majorHAnsi" w:hAnsiTheme="majorHAnsi" w:cstheme="majorHAnsi"/>
          <w:i/>
          <w:iCs/>
        </w:rPr>
        <w:t>. Z jednej strony b</w:t>
      </w:r>
      <w:r w:rsidR="00E86F97">
        <w:rPr>
          <w:rFonts w:asciiTheme="majorHAnsi" w:hAnsiTheme="majorHAnsi" w:cstheme="majorHAnsi"/>
          <w:i/>
          <w:iCs/>
        </w:rPr>
        <w:t xml:space="preserve">lisko </w:t>
      </w:r>
      <w:r w:rsidR="002B7C80" w:rsidRPr="00997693">
        <w:rPr>
          <w:rFonts w:asciiTheme="majorHAnsi" w:hAnsiTheme="majorHAnsi" w:cstheme="majorHAnsi"/>
          <w:i/>
          <w:iCs/>
        </w:rPr>
        <w:t>2/3</w:t>
      </w:r>
      <w:r w:rsidR="00997693">
        <w:rPr>
          <w:rFonts w:asciiTheme="majorHAnsi" w:hAnsiTheme="majorHAnsi" w:cstheme="majorHAnsi"/>
          <w:i/>
          <w:iCs/>
        </w:rPr>
        <w:t xml:space="preserve"> respondentów</w:t>
      </w:r>
      <w:r w:rsidR="002B7C80" w:rsidRPr="00997693">
        <w:rPr>
          <w:rFonts w:asciiTheme="majorHAnsi" w:hAnsiTheme="majorHAnsi" w:cstheme="majorHAnsi"/>
          <w:i/>
          <w:iCs/>
        </w:rPr>
        <w:t xml:space="preserve"> </w:t>
      </w:r>
      <w:r w:rsidR="00997693">
        <w:rPr>
          <w:rFonts w:asciiTheme="majorHAnsi" w:hAnsiTheme="majorHAnsi" w:cstheme="majorHAnsi"/>
          <w:i/>
          <w:iCs/>
        </w:rPr>
        <w:t>jest świadom</w:t>
      </w:r>
      <w:r w:rsidR="00B52C5B">
        <w:rPr>
          <w:rFonts w:asciiTheme="majorHAnsi" w:hAnsiTheme="majorHAnsi" w:cstheme="majorHAnsi"/>
          <w:i/>
          <w:iCs/>
        </w:rPr>
        <w:t>ych</w:t>
      </w:r>
      <w:r w:rsidR="00997693">
        <w:rPr>
          <w:rFonts w:asciiTheme="majorHAnsi" w:hAnsiTheme="majorHAnsi" w:cstheme="majorHAnsi"/>
          <w:i/>
          <w:iCs/>
        </w:rPr>
        <w:t>,</w:t>
      </w:r>
      <w:r w:rsidR="00622F20" w:rsidRPr="00997693">
        <w:rPr>
          <w:rFonts w:asciiTheme="majorHAnsi" w:hAnsiTheme="majorHAnsi" w:cstheme="majorHAnsi"/>
          <w:i/>
          <w:iCs/>
        </w:rPr>
        <w:t xml:space="preserve"> że </w:t>
      </w:r>
      <w:r w:rsidR="00E86F97">
        <w:rPr>
          <w:rFonts w:asciiTheme="majorHAnsi" w:hAnsiTheme="majorHAnsi" w:cstheme="majorHAnsi"/>
          <w:i/>
          <w:iCs/>
        </w:rPr>
        <w:t xml:space="preserve">na powierzchni świeżych produktów spożywczych może </w:t>
      </w:r>
      <w:r>
        <w:rPr>
          <w:rFonts w:asciiTheme="majorHAnsi" w:hAnsiTheme="majorHAnsi" w:cstheme="majorHAnsi"/>
          <w:i/>
          <w:iCs/>
        </w:rPr>
        <w:t>być obecny</w:t>
      </w:r>
      <w:r w:rsidR="00E86F97">
        <w:rPr>
          <w:rFonts w:asciiTheme="majorHAnsi" w:hAnsiTheme="majorHAnsi" w:cstheme="majorHAnsi"/>
          <w:i/>
          <w:iCs/>
        </w:rPr>
        <w:t xml:space="preserve"> wirus </w:t>
      </w:r>
      <w:r w:rsidR="00E86F97" w:rsidRPr="00997693">
        <w:rPr>
          <w:rFonts w:asciiTheme="majorHAnsi" w:hAnsiTheme="majorHAnsi" w:cstheme="majorHAnsi"/>
          <w:i/>
          <w:iCs/>
        </w:rPr>
        <w:t>SARS-CoV-2</w:t>
      </w:r>
      <w:r w:rsidR="00E86F97">
        <w:rPr>
          <w:rFonts w:asciiTheme="majorHAnsi" w:hAnsiTheme="majorHAnsi" w:cstheme="majorHAnsi"/>
          <w:i/>
          <w:iCs/>
        </w:rPr>
        <w:t xml:space="preserve">. </w:t>
      </w:r>
      <w:r w:rsidR="00997693">
        <w:rPr>
          <w:rFonts w:asciiTheme="majorHAnsi" w:hAnsiTheme="majorHAnsi" w:cstheme="majorHAnsi"/>
          <w:i/>
          <w:iCs/>
        </w:rPr>
        <w:t xml:space="preserve">W </w:t>
      </w:r>
      <w:r w:rsidR="00622F20" w:rsidRPr="00997693">
        <w:rPr>
          <w:rFonts w:asciiTheme="majorHAnsi" w:hAnsiTheme="majorHAnsi" w:cstheme="majorHAnsi"/>
          <w:i/>
          <w:iCs/>
        </w:rPr>
        <w:t>przypadku opakowań produktów spożywczych ta świadomość</w:t>
      </w:r>
      <w:r w:rsidR="00E86F97">
        <w:rPr>
          <w:rFonts w:asciiTheme="majorHAnsi" w:hAnsiTheme="majorHAnsi" w:cstheme="majorHAnsi"/>
          <w:i/>
          <w:iCs/>
        </w:rPr>
        <w:t xml:space="preserve"> jest jeszcze wyższa i</w:t>
      </w:r>
      <w:r w:rsidR="00622F20" w:rsidRPr="00997693">
        <w:rPr>
          <w:rFonts w:asciiTheme="majorHAnsi" w:hAnsiTheme="majorHAnsi" w:cstheme="majorHAnsi"/>
          <w:i/>
          <w:iCs/>
        </w:rPr>
        <w:t xml:space="preserve"> kształtuje się na poziomi</w:t>
      </w:r>
      <w:r w:rsidR="00997693" w:rsidRPr="00997693">
        <w:rPr>
          <w:rFonts w:asciiTheme="majorHAnsi" w:hAnsiTheme="majorHAnsi" w:cstheme="majorHAnsi"/>
          <w:i/>
          <w:iCs/>
        </w:rPr>
        <w:t xml:space="preserve">e niemal 75%. </w:t>
      </w:r>
      <w:r>
        <w:rPr>
          <w:rFonts w:asciiTheme="majorHAnsi" w:hAnsiTheme="majorHAnsi" w:cstheme="majorHAnsi"/>
          <w:i/>
          <w:iCs/>
        </w:rPr>
        <w:t>Z drugiej strony</w:t>
      </w:r>
      <w:r w:rsidR="0024295B">
        <w:rPr>
          <w:rFonts w:asciiTheme="majorHAnsi" w:hAnsiTheme="majorHAnsi" w:cstheme="majorHAnsi"/>
          <w:i/>
          <w:iCs/>
        </w:rPr>
        <w:t>,</w:t>
      </w:r>
      <w:r w:rsidR="00B52C5B">
        <w:rPr>
          <w:rFonts w:asciiTheme="majorHAnsi" w:hAnsiTheme="majorHAnsi" w:cstheme="majorHAnsi"/>
          <w:i/>
          <w:iCs/>
        </w:rPr>
        <w:t xml:space="preserve"> ponad 65% badanych odpowiedziało, że nie wie lub ma wątpliwości jak postępować ze świeżymi, niepakowanymi produktami spożywczymi. Jeszcze więcej osób czuje się zagubionych, gdy pytanie dotyczy świeżego pieczywa. Największą pewnością wykazali się badani pytani o opakowania spożywcze, chociaż i tutaj </w:t>
      </w:r>
      <w:r w:rsidR="00235614">
        <w:rPr>
          <w:rFonts w:asciiTheme="majorHAnsi" w:hAnsiTheme="majorHAnsi" w:cstheme="majorHAnsi"/>
          <w:i/>
          <w:iCs/>
        </w:rPr>
        <w:t xml:space="preserve">blisko </w:t>
      </w:r>
      <w:r w:rsidR="00B52C5B">
        <w:rPr>
          <w:rFonts w:asciiTheme="majorHAnsi" w:hAnsiTheme="majorHAnsi" w:cstheme="majorHAnsi"/>
          <w:i/>
          <w:iCs/>
        </w:rPr>
        <w:t>58%</w:t>
      </w:r>
      <w:r w:rsidR="00483119">
        <w:rPr>
          <w:rFonts w:asciiTheme="majorHAnsi" w:hAnsiTheme="majorHAnsi" w:cstheme="majorHAnsi"/>
          <w:i/>
          <w:iCs/>
        </w:rPr>
        <w:t xml:space="preserve"> </w:t>
      </w:r>
      <w:r w:rsidR="001161AF">
        <w:rPr>
          <w:rFonts w:asciiTheme="majorHAnsi" w:hAnsiTheme="majorHAnsi" w:cstheme="majorHAnsi"/>
          <w:i/>
          <w:iCs/>
        </w:rPr>
        <w:t>zaznaczyło odpowiedzi</w:t>
      </w:r>
      <w:r w:rsidR="00411BA7">
        <w:rPr>
          <w:rFonts w:asciiTheme="majorHAnsi" w:hAnsiTheme="majorHAnsi" w:cstheme="majorHAnsi"/>
          <w:i/>
          <w:iCs/>
        </w:rPr>
        <w:t xml:space="preserve"> w kategorii nie lub nie wiem</w:t>
      </w:r>
      <w:r w:rsidR="002F27CD">
        <w:rPr>
          <w:rStyle w:val="Odwoanieprzypisudolnego"/>
          <w:rFonts w:asciiTheme="majorHAnsi" w:hAnsiTheme="majorHAnsi" w:cstheme="majorHAnsi"/>
          <w:i/>
          <w:iCs/>
        </w:rPr>
        <w:footnoteReference w:id="6"/>
      </w:r>
      <w:r w:rsidR="003C5AAA">
        <w:rPr>
          <w:rFonts w:asciiTheme="majorHAnsi" w:hAnsiTheme="majorHAnsi" w:cstheme="majorHAnsi"/>
          <w:i/>
          <w:iCs/>
        </w:rPr>
        <w:t xml:space="preserve"> –</w:t>
      </w:r>
      <w:r w:rsidR="00411BA7">
        <w:rPr>
          <w:rFonts w:asciiTheme="majorHAnsi" w:hAnsiTheme="majorHAnsi" w:cstheme="majorHAnsi"/>
        </w:rPr>
        <w:t xml:space="preserve"> komentuje</w:t>
      </w:r>
      <w:r w:rsidR="00622F20" w:rsidRPr="003C5AAA">
        <w:rPr>
          <w:rFonts w:asciiTheme="majorHAnsi" w:hAnsiTheme="majorHAnsi" w:cstheme="majorHAnsi"/>
        </w:rPr>
        <w:t xml:space="preserve"> </w:t>
      </w:r>
      <w:r w:rsidR="002B7C80" w:rsidRPr="008179DE">
        <w:rPr>
          <w:rFonts w:asciiTheme="majorHAnsi" w:hAnsiTheme="majorHAnsi" w:cstheme="majorHAnsi"/>
          <w:b/>
          <w:bCs/>
        </w:rPr>
        <w:t>Emilia Hahn, Prezes Zarządu PR Hub</w:t>
      </w:r>
      <w:r w:rsidR="002B7C80" w:rsidRPr="003C5AAA">
        <w:rPr>
          <w:rFonts w:asciiTheme="majorHAnsi" w:hAnsiTheme="majorHAnsi" w:cstheme="majorHAnsi"/>
        </w:rPr>
        <w:t>.</w:t>
      </w:r>
    </w:p>
    <w:p w14:paraId="3C131FF6" w14:textId="44BE0299" w:rsidR="00411BA7" w:rsidRDefault="00411BA7" w:rsidP="00DF52E5">
      <w:pPr>
        <w:jc w:val="both"/>
        <w:rPr>
          <w:rFonts w:asciiTheme="majorHAnsi" w:hAnsiTheme="majorHAnsi" w:cstheme="majorHAnsi"/>
        </w:rPr>
      </w:pPr>
    </w:p>
    <w:p w14:paraId="34861AC5" w14:textId="527C59AC" w:rsidR="00EA0D11" w:rsidRDefault="00EA0D11" w:rsidP="00DF52E5">
      <w:pPr>
        <w:jc w:val="both"/>
        <w:rPr>
          <w:rFonts w:asciiTheme="majorHAnsi" w:hAnsiTheme="majorHAnsi" w:cstheme="majorHAnsi"/>
        </w:rPr>
      </w:pPr>
      <w:r w:rsidRPr="00EA0D11">
        <w:rPr>
          <w:rFonts w:asciiTheme="majorHAnsi" w:hAnsiTheme="majorHAnsi" w:cstheme="majorHAnsi"/>
        </w:rPr>
        <w:t>To pokazuje, że</w:t>
      </w:r>
      <w:r>
        <w:rPr>
          <w:rFonts w:asciiTheme="majorHAnsi" w:hAnsiTheme="majorHAnsi" w:cstheme="majorHAnsi"/>
        </w:rPr>
        <w:t xml:space="preserve"> pomimo wielu informacji o samym wirusie, rozwoju pandemii i jej wpływie na </w:t>
      </w:r>
      <w:r w:rsidRPr="007A2300">
        <w:rPr>
          <w:rFonts w:asciiTheme="majorHAnsi" w:hAnsiTheme="majorHAnsi" w:cstheme="majorHAnsi"/>
        </w:rPr>
        <w:t>nasze</w:t>
      </w:r>
      <w:r>
        <w:rPr>
          <w:rFonts w:asciiTheme="majorHAnsi" w:hAnsiTheme="majorHAnsi" w:cstheme="majorHAnsi"/>
        </w:rPr>
        <w:t xml:space="preserve"> codzienne życie,</w:t>
      </w:r>
      <w:r w:rsidRPr="00EA0D11">
        <w:rPr>
          <w:rFonts w:asciiTheme="majorHAnsi" w:hAnsiTheme="majorHAnsi" w:cstheme="majorHAnsi"/>
        </w:rPr>
        <w:t xml:space="preserve"> respondenci czują się mocno niedoinformowani, w jaki sposób należy postępować z poszczególnymi produktami spożywczymi, aby w sposób bezpieczny – dla siebie i samej żywności – </w:t>
      </w:r>
      <w:r w:rsidR="007A4E67">
        <w:rPr>
          <w:rFonts w:asciiTheme="majorHAnsi" w:hAnsiTheme="majorHAnsi" w:cstheme="majorHAnsi"/>
        </w:rPr>
        <w:t>przygotować produkt do przechowywania bądź spożycia.</w:t>
      </w:r>
    </w:p>
    <w:p w14:paraId="692E27E8" w14:textId="77777777" w:rsidR="00EA0D11" w:rsidRDefault="00EA0D11" w:rsidP="00DF52E5">
      <w:pPr>
        <w:jc w:val="both"/>
        <w:rPr>
          <w:rFonts w:asciiTheme="majorHAnsi" w:hAnsiTheme="majorHAnsi" w:cstheme="majorHAnsi"/>
        </w:rPr>
      </w:pPr>
    </w:p>
    <w:p w14:paraId="2E377CF8" w14:textId="0788F481" w:rsidR="003F2D56" w:rsidRPr="003F2D56" w:rsidRDefault="001161AF" w:rsidP="003F2D56">
      <w:pPr>
        <w:jc w:val="both"/>
        <w:rPr>
          <w:rFonts w:asciiTheme="majorHAnsi" w:hAnsiTheme="majorHAnsi" w:cstheme="majorHAnsi"/>
          <w:i/>
          <w:iCs/>
        </w:rPr>
      </w:pPr>
      <w:r>
        <w:rPr>
          <w:rFonts w:asciiTheme="majorHAnsi" w:hAnsiTheme="majorHAnsi" w:cstheme="majorHAnsi"/>
          <w:i/>
          <w:iCs/>
        </w:rPr>
        <w:t>Obecnie dysponujemy ograniczoną liczbą i</w:t>
      </w:r>
      <w:r w:rsidR="00EA0D11">
        <w:rPr>
          <w:rFonts w:asciiTheme="majorHAnsi" w:hAnsiTheme="majorHAnsi" w:cstheme="majorHAnsi"/>
          <w:i/>
          <w:iCs/>
        </w:rPr>
        <w:t>nformacji na ten temat, również w naukowych źródłach</w:t>
      </w:r>
      <w:r w:rsidR="003F2D56">
        <w:rPr>
          <w:rFonts w:asciiTheme="majorHAnsi" w:hAnsiTheme="majorHAnsi" w:cstheme="majorHAnsi"/>
          <w:i/>
          <w:iCs/>
        </w:rPr>
        <w:t>. A przecież</w:t>
      </w:r>
      <w:r w:rsidR="00115ED5">
        <w:rPr>
          <w:rFonts w:asciiTheme="majorHAnsi" w:hAnsiTheme="majorHAnsi" w:cstheme="majorHAnsi"/>
          <w:i/>
          <w:iCs/>
        </w:rPr>
        <w:t xml:space="preserve"> </w:t>
      </w:r>
      <w:r w:rsidR="003F2D56">
        <w:rPr>
          <w:rFonts w:asciiTheme="majorHAnsi" w:hAnsiTheme="majorHAnsi" w:cstheme="majorHAnsi"/>
          <w:i/>
          <w:iCs/>
        </w:rPr>
        <w:t xml:space="preserve">wybrany przez nas </w:t>
      </w:r>
      <w:r w:rsidR="00115ED5">
        <w:rPr>
          <w:rFonts w:asciiTheme="majorHAnsi" w:hAnsiTheme="majorHAnsi" w:cstheme="majorHAnsi"/>
          <w:i/>
          <w:iCs/>
        </w:rPr>
        <w:t>sposób oczyszczenia żywności po przyniesieniu do domu, przechowywania</w:t>
      </w:r>
      <w:r w:rsidR="003F2D56">
        <w:rPr>
          <w:rFonts w:asciiTheme="majorHAnsi" w:hAnsiTheme="majorHAnsi" w:cstheme="majorHAnsi"/>
          <w:i/>
          <w:iCs/>
        </w:rPr>
        <w:t xml:space="preserve"> jej</w:t>
      </w:r>
      <w:r w:rsidR="00115ED5">
        <w:rPr>
          <w:rFonts w:asciiTheme="majorHAnsi" w:hAnsiTheme="majorHAnsi" w:cstheme="majorHAnsi"/>
          <w:i/>
          <w:iCs/>
        </w:rPr>
        <w:t>, a także przygotowania posiłku</w:t>
      </w:r>
      <w:r w:rsidR="003F2D56">
        <w:rPr>
          <w:rFonts w:asciiTheme="majorHAnsi" w:hAnsiTheme="majorHAnsi" w:cstheme="majorHAnsi"/>
          <w:i/>
          <w:iCs/>
        </w:rPr>
        <w:t xml:space="preserve"> może mieć wpływ na to</w:t>
      </w:r>
      <w:r>
        <w:rPr>
          <w:rFonts w:asciiTheme="majorHAnsi" w:hAnsiTheme="majorHAnsi" w:cstheme="majorHAnsi"/>
          <w:i/>
          <w:iCs/>
        </w:rPr>
        <w:t>,</w:t>
      </w:r>
      <w:r w:rsidR="003F2D56">
        <w:rPr>
          <w:rFonts w:asciiTheme="majorHAnsi" w:hAnsiTheme="majorHAnsi" w:cstheme="majorHAnsi"/>
          <w:i/>
          <w:iCs/>
        </w:rPr>
        <w:t xml:space="preserve"> czy i kiedy wirus przeniesie się na nasze ręce</w:t>
      </w:r>
      <w:r w:rsidR="00EB00FE">
        <w:rPr>
          <w:rStyle w:val="Odwoanieprzypisudolnego"/>
          <w:rFonts w:asciiTheme="majorHAnsi" w:hAnsiTheme="majorHAnsi" w:cstheme="majorHAnsi"/>
          <w:i/>
          <w:iCs/>
        </w:rPr>
        <w:footnoteReference w:id="7"/>
      </w:r>
      <w:r w:rsidR="003F2D56">
        <w:rPr>
          <w:rFonts w:asciiTheme="majorHAnsi" w:hAnsiTheme="majorHAnsi" w:cstheme="majorHAnsi"/>
          <w:i/>
          <w:iCs/>
        </w:rPr>
        <w:t xml:space="preserve">. W tym miejscu muszę zaznaczyć, że możliwość, </w:t>
      </w:r>
      <w:r w:rsidR="003F2D56" w:rsidRPr="003C5AAA">
        <w:rPr>
          <w:rFonts w:asciiTheme="majorHAnsi" w:hAnsiTheme="majorHAnsi" w:cstheme="majorHAnsi"/>
          <w:i/>
          <w:iCs/>
        </w:rPr>
        <w:t xml:space="preserve">że dana osoba </w:t>
      </w:r>
      <w:r w:rsidR="003F2D56">
        <w:rPr>
          <w:rFonts w:asciiTheme="majorHAnsi" w:hAnsiTheme="majorHAnsi" w:cstheme="majorHAnsi"/>
          <w:i/>
          <w:iCs/>
        </w:rPr>
        <w:t>zachoruje na</w:t>
      </w:r>
      <w:r w:rsidR="003F2D56" w:rsidRPr="003C5AAA">
        <w:rPr>
          <w:rFonts w:asciiTheme="majorHAnsi" w:hAnsiTheme="majorHAnsi" w:cstheme="majorHAnsi"/>
          <w:i/>
          <w:iCs/>
        </w:rPr>
        <w:t xml:space="preserve"> COVID-19, dotykając powierzchni lub obiektu, na którym jest wirus, a następnie dotykając własnych ust, nosa lub ewentualnie oczu</w:t>
      </w:r>
      <w:r w:rsidR="003F2D56">
        <w:rPr>
          <w:rFonts w:asciiTheme="majorHAnsi" w:hAnsiTheme="majorHAnsi" w:cstheme="majorHAnsi"/>
          <w:i/>
          <w:iCs/>
        </w:rPr>
        <w:t xml:space="preserve"> n</w:t>
      </w:r>
      <w:r w:rsidR="003F2D56" w:rsidRPr="003C5AAA">
        <w:rPr>
          <w:rFonts w:asciiTheme="majorHAnsi" w:hAnsiTheme="majorHAnsi" w:cstheme="majorHAnsi"/>
          <w:i/>
          <w:iCs/>
        </w:rPr>
        <w:t>ie jest uważan</w:t>
      </w:r>
      <w:r w:rsidR="003317E5">
        <w:rPr>
          <w:rFonts w:asciiTheme="majorHAnsi" w:hAnsiTheme="majorHAnsi" w:cstheme="majorHAnsi"/>
          <w:i/>
          <w:iCs/>
        </w:rPr>
        <w:t>a</w:t>
      </w:r>
      <w:r w:rsidR="003F2D56">
        <w:rPr>
          <w:rFonts w:asciiTheme="majorHAnsi" w:hAnsiTheme="majorHAnsi" w:cstheme="majorHAnsi"/>
          <w:i/>
          <w:iCs/>
        </w:rPr>
        <w:t xml:space="preserve"> przez środowiska naukowe</w:t>
      </w:r>
      <w:r w:rsidR="003F2D56" w:rsidRPr="003C5AAA">
        <w:rPr>
          <w:rFonts w:asciiTheme="majorHAnsi" w:hAnsiTheme="majorHAnsi" w:cstheme="majorHAnsi"/>
          <w:i/>
          <w:iCs/>
        </w:rPr>
        <w:t xml:space="preserve"> za główny sposób rozprzestrzeniania się wirusa</w:t>
      </w:r>
      <w:r w:rsidR="00EB00FE">
        <w:rPr>
          <w:rStyle w:val="Odwoanieprzypisudolnego"/>
          <w:rFonts w:asciiTheme="majorHAnsi" w:hAnsiTheme="majorHAnsi" w:cstheme="majorHAnsi"/>
          <w:i/>
          <w:iCs/>
        </w:rPr>
        <w:footnoteReference w:id="8"/>
      </w:r>
      <w:r w:rsidR="003F2D56">
        <w:rPr>
          <w:rFonts w:asciiTheme="majorHAnsi" w:hAnsiTheme="majorHAnsi" w:cstheme="majorHAnsi"/>
          <w:i/>
          <w:iCs/>
        </w:rPr>
        <w:t xml:space="preserve">. Nie możemy jednak wykluczyć, że jest to jedna z dróg i z tego względu należy zachować </w:t>
      </w:r>
      <w:r w:rsidR="003F2D56">
        <w:rPr>
          <w:rFonts w:asciiTheme="majorHAnsi" w:hAnsiTheme="majorHAnsi" w:cstheme="majorHAnsi"/>
          <w:i/>
          <w:iCs/>
        </w:rPr>
        <w:lastRenderedPageBreak/>
        <w:t xml:space="preserve">szczególną ostrożność – </w:t>
      </w:r>
      <w:r w:rsidR="003F2D56" w:rsidRPr="005F7811">
        <w:rPr>
          <w:rFonts w:asciiTheme="majorHAnsi" w:hAnsiTheme="majorHAnsi"/>
        </w:rPr>
        <w:t xml:space="preserve">wyjaśnia </w:t>
      </w:r>
      <w:r w:rsidR="003F2D56" w:rsidRPr="008179DE">
        <w:rPr>
          <w:rFonts w:asciiTheme="majorHAnsi" w:hAnsiTheme="majorHAnsi" w:cstheme="majorHAnsi"/>
          <w:b/>
          <w:bCs/>
        </w:rPr>
        <w:t xml:space="preserve">dr hab. n. o </w:t>
      </w:r>
      <w:proofErr w:type="spellStart"/>
      <w:r w:rsidR="003F2D56" w:rsidRPr="008179DE">
        <w:rPr>
          <w:rFonts w:asciiTheme="majorHAnsi" w:hAnsiTheme="majorHAnsi" w:cstheme="majorHAnsi"/>
          <w:b/>
          <w:bCs/>
        </w:rPr>
        <w:t>zdr</w:t>
      </w:r>
      <w:proofErr w:type="spellEnd"/>
      <w:r w:rsidR="003F2D56" w:rsidRPr="008179DE">
        <w:rPr>
          <w:rFonts w:asciiTheme="majorHAnsi" w:hAnsiTheme="majorHAnsi" w:cstheme="majorHAnsi"/>
          <w:b/>
          <w:bCs/>
        </w:rPr>
        <w:t>. Mariusz Panczyk adiunkt Zakładu Edukacji i Badań w Naukach o Zdrowiu WUM</w:t>
      </w:r>
      <w:r w:rsidR="003F2D56" w:rsidRPr="002B7C80">
        <w:rPr>
          <w:rFonts w:asciiTheme="majorHAnsi" w:hAnsiTheme="majorHAnsi" w:cstheme="majorHAnsi"/>
        </w:rPr>
        <w:t>.</w:t>
      </w:r>
    </w:p>
    <w:p w14:paraId="61875A90" w14:textId="77777777" w:rsidR="00115ED5" w:rsidRDefault="00115ED5" w:rsidP="00DF52E5">
      <w:pPr>
        <w:jc w:val="both"/>
        <w:rPr>
          <w:rFonts w:asciiTheme="majorHAnsi" w:hAnsiTheme="majorHAnsi" w:cstheme="majorHAnsi"/>
          <w:i/>
          <w:iCs/>
        </w:rPr>
      </w:pPr>
    </w:p>
    <w:p w14:paraId="53E4C5B1" w14:textId="64238384" w:rsidR="00AF27E2" w:rsidRPr="00483119" w:rsidRDefault="00A071C3" w:rsidP="00DF52E5">
      <w:pPr>
        <w:jc w:val="both"/>
        <w:rPr>
          <w:rFonts w:asciiTheme="majorHAnsi" w:hAnsiTheme="majorHAnsi" w:cstheme="majorHAnsi"/>
          <w:i/>
          <w:iCs/>
        </w:rPr>
      </w:pPr>
      <w:r>
        <w:rPr>
          <w:rFonts w:asciiTheme="majorHAnsi" w:hAnsiTheme="majorHAnsi" w:cstheme="majorHAnsi"/>
        </w:rPr>
        <w:t>W</w:t>
      </w:r>
      <w:r w:rsidR="00EA0D11" w:rsidRPr="00A071C3">
        <w:rPr>
          <w:rFonts w:asciiTheme="majorHAnsi" w:hAnsiTheme="majorHAnsi" w:cstheme="majorHAnsi"/>
        </w:rPr>
        <w:t>stępne badania</w:t>
      </w:r>
      <w:r>
        <w:rPr>
          <w:rStyle w:val="Odwoanieprzypisudolnego"/>
          <w:rFonts w:asciiTheme="majorHAnsi" w:hAnsiTheme="majorHAnsi" w:cstheme="majorHAnsi"/>
        </w:rPr>
        <w:footnoteReference w:id="9"/>
      </w:r>
      <w:r w:rsidR="00EA0D11" w:rsidRPr="00A071C3">
        <w:rPr>
          <w:rFonts w:asciiTheme="majorHAnsi" w:hAnsiTheme="majorHAnsi" w:cstheme="majorHAnsi"/>
        </w:rPr>
        <w:t xml:space="preserve"> wykazały, że SARS-CoV-2 może trwać </w:t>
      </w:r>
      <w:r w:rsidR="00115ED5" w:rsidRPr="00A071C3">
        <w:rPr>
          <w:rFonts w:asciiTheme="majorHAnsi" w:hAnsiTheme="majorHAnsi" w:cstheme="majorHAnsi"/>
        </w:rPr>
        <w:t xml:space="preserve">od kilku godzin do nawet kilku dni </w:t>
      </w:r>
      <w:r>
        <w:rPr>
          <w:rFonts w:asciiTheme="majorHAnsi" w:hAnsiTheme="majorHAnsi" w:cstheme="majorHAnsi"/>
        </w:rPr>
        <w:t>w zależności od</w:t>
      </w:r>
      <w:r w:rsidR="00115ED5" w:rsidRPr="00A071C3">
        <w:rPr>
          <w:rFonts w:asciiTheme="majorHAnsi" w:hAnsiTheme="majorHAnsi" w:cstheme="majorHAnsi"/>
        </w:rPr>
        <w:t xml:space="preserve"> powierzchni</w:t>
      </w:r>
      <w:r>
        <w:rPr>
          <w:rFonts w:asciiTheme="majorHAnsi" w:hAnsiTheme="majorHAnsi" w:cstheme="majorHAnsi"/>
        </w:rPr>
        <w:t xml:space="preserve">, na której przebywa i warunków panujących w </w:t>
      </w:r>
      <w:r w:rsidR="00AF27E2">
        <w:rPr>
          <w:rFonts w:asciiTheme="majorHAnsi" w:hAnsiTheme="majorHAnsi" w:cstheme="majorHAnsi"/>
        </w:rPr>
        <w:t xml:space="preserve">jego </w:t>
      </w:r>
      <w:r>
        <w:rPr>
          <w:rFonts w:asciiTheme="majorHAnsi" w:hAnsiTheme="majorHAnsi" w:cstheme="majorHAnsi"/>
        </w:rPr>
        <w:t>otoczeniu</w:t>
      </w:r>
      <w:r w:rsidR="00AF27E2">
        <w:rPr>
          <w:rFonts w:asciiTheme="majorHAnsi" w:hAnsiTheme="majorHAnsi" w:cstheme="majorHAnsi"/>
        </w:rPr>
        <w:t xml:space="preserve"> (temperatura, poziom wilgotności)</w:t>
      </w:r>
      <w:r>
        <w:rPr>
          <w:rFonts w:asciiTheme="majorHAnsi" w:hAnsiTheme="majorHAnsi" w:cstheme="majorHAnsi"/>
        </w:rPr>
        <w:t xml:space="preserve">. </w:t>
      </w:r>
      <w:r w:rsidR="00AF27E2" w:rsidRPr="00483119">
        <w:rPr>
          <w:rFonts w:asciiTheme="majorHAnsi" w:hAnsiTheme="majorHAnsi" w:cstheme="majorHAnsi"/>
          <w:i/>
          <w:iCs/>
        </w:rPr>
        <w:t>Dobrą wiadomością jest fakt, że w przeciwieństwie do bakterii</w:t>
      </w:r>
      <w:r w:rsidR="007A4E67">
        <w:rPr>
          <w:rFonts w:asciiTheme="majorHAnsi" w:hAnsiTheme="majorHAnsi" w:cstheme="majorHAnsi"/>
          <w:i/>
          <w:iCs/>
        </w:rPr>
        <w:t xml:space="preserve"> czy pleśni</w:t>
      </w:r>
      <w:r w:rsidR="00AF27E2" w:rsidRPr="00483119">
        <w:rPr>
          <w:rFonts w:asciiTheme="majorHAnsi" w:hAnsiTheme="majorHAnsi" w:cstheme="majorHAnsi"/>
          <w:i/>
          <w:iCs/>
        </w:rPr>
        <w:t xml:space="preserve"> wirusy nie mogą rosnąć w żywności, w tym w pieczywie, więc można oczekiwać, że ilość wirusa na jej powierzchni będzie maleć z czasem</w:t>
      </w:r>
      <w:r w:rsidR="001161AF">
        <w:rPr>
          <w:rFonts w:asciiTheme="majorHAnsi" w:hAnsiTheme="majorHAnsi" w:cstheme="majorHAnsi"/>
          <w:i/>
          <w:iCs/>
        </w:rPr>
        <w:t xml:space="preserve"> – </w:t>
      </w:r>
      <w:r w:rsidR="001161AF" w:rsidRPr="00483119">
        <w:rPr>
          <w:rFonts w:asciiTheme="majorHAnsi" w:hAnsiTheme="majorHAnsi" w:cstheme="majorHAnsi"/>
          <w:i/>
          <w:iCs/>
        </w:rPr>
        <w:t xml:space="preserve">dodaje </w:t>
      </w:r>
      <w:r w:rsidR="001161AF" w:rsidRPr="00483119">
        <w:rPr>
          <w:rFonts w:asciiTheme="majorHAnsi" w:hAnsiTheme="majorHAnsi" w:cstheme="majorHAnsi"/>
        </w:rPr>
        <w:t>Panczyk</w:t>
      </w:r>
      <w:r w:rsidR="00AF27E2" w:rsidRPr="00483119">
        <w:rPr>
          <w:rFonts w:asciiTheme="majorHAnsi" w:hAnsiTheme="majorHAnsi" w:cstheme="majorHAnsi"/>
          <w:i/>
          <w:iCs/>
        </w:rPr>
        <w:t xml:space="preserve">. </w:t>
      </w:r>
    </w:p>
    <w:p w14:paraId="11C0ABF5" w14:textId="77777777" w:rsidR="00AF27E2" w:rsidRDefault="00AF27E2" w:rsidP="00DF52E5">
      <w:pPr>
        <w:jc w:val="both"/>
        <w:rPr>
          <w:rFonts w:asciiTheme="majorHAnsi" w:hAnsiTheme="majorHAnsi" w:cstheme="majorHAnsi"/>
        </w:rPr>
      </w:pPr>
    </w:p>
    <w:p w14:paraId="02770138" w14:textId="49C7079A" w:rsidR="003C5AAA" w:rsidRPr="00817527" w:rsidRDefault="00115ED5" w:rsidP="00817527">
      <w:pPr>
        <w:jc w:val="both"/>
        <w:rPr>
          <w:rFonts w:asciiTheme="majorHAnsi" w:hAnsiTheme="majorHAnsi" w:cstheme="majorHAnsi"/>
        </w:rPr>
      </w:pPr>
      <w:r w:rsidRPr="00A071C3">
        <w:rPr>
          <w:rFonts w:asciiTheme="majorHAnsi" w:hAnsiTheme="majorHAnsi" w:cstheme="majorHAnsi"/>
        </w:rPr>
        <w:t xml:space="preserve">W przypadku </w:t>
      </w:r>
      <w:r w:rsidRPr="001D34ED">
        <w:rPr>
          <w:rFonts w:asciiTheme="majorHAnsi" w:hAnsiTheme="majorHAnsi" w:cstheme="majorHAnsi"/>
          <w:b/>
          <w:bCs/>
        </w:rPr>
        <w:t>świeżych</w:t>
      </w:r>
      <w:r w:rsidR="00A071C3" w:rsidRPr="001D34ED">
        <w:rPr>
          <w:rFonts w:asciiTheme="majorHAnsi" w:hAnsiTheme="majorHAnsi" w:cstheme="majorHAnsi"/>
          <w:b/>
          <w:bCs/>
        </w:rPr>
        <w:t xml:space="preserve"> produktów spożywczych</w:t>
      </w:r>
      <w:r w:rsidR="00A071C3">
        <w:rPr>
          <w:rFonts w:asciiTheme="majorHAnsi" w:hAnsiTheme="majorHAnsi" w:cstheme="majorHAnsi"/>
        </w:rPr>
        <w:t>, przechowywanych w temperaturze pokojowej lub wyższej,</w:t>
      </w:r>
      <w:r w:rsidRPr="00A071C3">
        <w:rPr>
          <w:rFonts w:asciiTheme="majorHAnsi" w:hAnsiTheme="majorHAnsi" w:cstheme="majorHAnsi"/>
        </w:rPr>
        <w:t xml:space="preserve"> będą to około 24 godziny</w:t>
      </w:r>
      <w:r w:rsidR="00A071C3">
        <w:rPr>
          <w:rFonts w:asciiTheme="majorHAnsi" w:hAnsiTheme="majorHAnsi" w:cstheme="majorHAnsi"/>
        </w:rPr>
        <w:t xml:space="preserve">. Czas ten jednak może ulec wydłużeniu, jeżeli po przyniesieniu do domu, włożymy </w:t>
      </w:r>
      <w:r w:rsidR="00AF27E2">
        <w:rPr>
          <w:rFonts w:asciiTheme="majorHAnsi" w:hAnsiTheme="majorHAnsi" w:cstheme="majorHAnsi"/>
        </w:rPr>
        <w:t xml:space="preserve">świeże </w:t>
      </w:r>
      <w:r w:rsidR="00A071C3">
        <w:rPr>
          <w:rFonts w:asciiTheme="majorHAnsi" w:hAnsiTheme="majorHAnsi" w:cstheme="majorHAnsi"/>
        </w:rPr>
        <w:t>produkty do chłodziarki.</w:t>
      </w:r>
      <w:r w:rsidR="00AF27E2">
        <w:rPr>
          <w:rFonts w:asciiTheme="majorHAnsi" w:hAnsiTheme="majorHAnsi" w:cstheme="majorHAnsi"/>
        </w:rPr>
        <w:t xml:space="preserve"> Wówczas możemy spodziewać się, że wirus będzie na nich obecny do </w:t>
      </w:r>
      <w:r w:rsidR="007A4E67">
        <w:rPr>
          <w:rFonts w:asciiTheme="majorHAnsi" w:hAnsiTheme="majorHAnsi" w:cstheme="majorHAnsi"/>
        </w:rPr>
        <w:t>72</w:t>
      </w:r>
      <w:r w:rsidR="00AF27E2">
        <w:rPr>
          <w:rFonts w:asciiTheme="majorHAnsi" w:hAnsiTheme="majorHAnsi" w:cstheme="majorHAnsi"/>
        </w:rPr>
        <w:t xml:space="preserve"> godzin.</w:t>
      </w:r>
      <w:r w:rsidR="00A071C3">
        <w:rPr>
          <w:rFonts w:asciiTheme="majorHAnsi" w:hAnsiTheme="majorHAnsi" w:cstheme="majorHAnsi"/>
        </w:rPr>
        <w:t xml:space="preserve"> </w:t>
      </w:r>
      <w:r w:rsidR="007A4E67">
        <w:rPr>
          <w:rFonts w:asciiTheme="majorHAnsi" w:hAnsiTheme="majorHAnsi" w:cstheme="majorHAnsi"/>
        </w:rPr>
        <w:t xml:space="preserve">Z uwagi na fakt, że wirusy charakteryzują się dużą stabilnością w niskich </w:t>
      </w:r>
      <w:r w:rsidR="007A4E67" w:rsidRPr="007A02B5">
        <w:rPr>
          <w:rFonts w:asciiTheme="majorHAnsi" w:hAnsiTheme="majorHAnsi" w:cstheme="majorHAnsi"/>
        </w:rPr>
        <w:t>temperaturach, n</w:t>
      </w:r>
      <w:r w:rsidR="00A071C3" w:rsidRPr="007A02B5">
        <w:rPr>
          <w:rFonts w:asciiTheme="majorHAnsi" w:hAnsiTheme="majorHAnsi" w:cstheme="majorHAnsi"/>
        </w:rPr>
        <w:t>ajdłużej wirus przetrwa</w:t>
      </w:r>
      <w:r w:rsidR="00AF27E2" w:rsidRPr="007A02B5">
        <w:rPr>
          <w:rFonts w:asciiTheme="majorHAnsi" w:hAnsiTheme="majorHAnsi" w:cstheme="majorHAnsi"/>
        </w:rPr>
        <w:t xml:space="preserve"> w zamrażarce</w:t>
      </w:r>
      <w:r w:rsidR="007A4E67" w:rsidRPr="007A02B5">
        <w:rPr>
          <w:rFonts w:asciiTheme="majorHAnsi" w:hAnsiTheme="majorHAnsi" w:cstheme="majorHAnsi"/>
        </w:rPr>
        <w:t>. Z</w:t>
      </w:r>
      <w:r w:rsidR="00AF27E2" w:rsidRPr="007A02B5">
        <w:rPr>
          <w:rFonts w:asciiTheme="majorHAnsi" w:hAnsiTheme="majorHAnsi" w:cstheme="majorHAnsi"/>
        </w:rPr>
        <w:t>aleca się, aby np. w przypadku świeżych warzyw i owoców wyjąć je z siatki i pozostawić na czystej ściereczce z dala od dzieci przez około dobę. Dopiero po tym czasie umyć je pod ciepłą, bieżącą wodą i te, które tego wymagają</w:t>
      </w:r>
      <w:r w:rsidR="003317E5">
        <w:rPr>
          <w:rFonts w:asciiTheme="majorHAnsi" w:hAnsiTheme="majorHAnsi" w:cstheme="majorHAnsi"/>
        </w:rPr>
        <w:t>,</w:t>
      </w:r>
      <w:r w:rsidR="00AF27E2" w:rsidRPr="007A02B5">
        <w:rPr>
          <w:rFonts w:asciiTheme="majorHAnsi" w:hAnsiTheme="majorHAnsi" w:cstheme="majorHAnsi"/>
        </w:rPr>
        <w:t xml:space="preserve"> włożyć do </w:t>
      </w:r>
      <w:r w:rsidR="001161AF" w:rsidRPr="007A02B5">
        <w:rPr>
          <w:rFonts w:asciiTheme="majorHAnsi" w:hAnsiTheme="majorHAnsi" w:cstheme="majorHAnsi"/>
        </w:rPr>
        <w:t>lodówki</w:t>
      </w:r>
      <w:r w:rsidR="007A4E67" w:rsidRPr="007A02B5">
        <w:rPr>
          <w:rFonts w:asciiTheme="majorHAnsi" w:hAnsiTheme="majorHAnsi" w:cstheme="majorHAnsi"/>
        </w:rPr>
        <w:t xml:space="preserve"> (jest to jedna z pięciu podstawowych zasad postępowania z </w:t>
      </w:r>
      <w:r w:rsidR="007A02B5" w:rsidRPr="007A02B5">
        <w:rPr>
          <w:rFonts w:asciiTheme="majorHAnsi" w:hAnsiTheme="majorHAnsi" w:cstheme="majorHAnsi"/>
        </w:rPr>
        <w:t>żywnością</w:t>
      </w:r>
      <w:r w:rsidR="007A4E67" w:rsidRPr="007A02B5">
        <w:rPr>
          <w:rFonts w:asciiTheme="majorHAnsi" w:hAnsiTheme="majorHAnsi" w:cstheme="majorHAnsi"/>
        </w:rPr>
        <w:t>, rekomendowana przez WHO nie tylko w czasach pandemii)</w:t>
      </w:r>
      <w:r w:rsidR="00EB00FE" w:rsidRPr="007A02B5">
        <w:rPr>
          <w:rStyle w:val="Odwoanieprzypisudolnego"/>
          <w:rFonts w:asciiTheme="majorHAnsi" w:hAnsiTheme="majorHAnsi" w:cstheme="majorHAnsi"/>
        </w:rPr>
        <w:footnoteReference w:id="10"/>
      </w:r>
      <w:r w:rsidR="00AF27E2" w:rsidRPr="007A02B5">
        <w:rPr>
          <w:rFonts w:asciiTheme="majorHAnsi" w:hAnsiTheme="majorHAnsi" w:cstheme="majorHAnsi"/>
        </w:rPr>
        <w:t xml:space="preserve">. Również pozostawienie </w:t>
      </w:r>
      <w:r w:rsidR="00AF27E2" w:rsidRPr="007A02B5">
        <w:rPr>
          <w:rFonts w:asciiTheme="majorHAnsi" w:hAnsiTheme="majorHAnsi" w:cstheme="majorHAnsi"/>
          <w:b/>
          <w:bCs/>
        </w:rPr>
        <w:t>pieczywa</w:t>
      </w:r>
      <w:r w:rsidR="00AF27E2" w:rsidRPr="007A02B5">
        <w:rPr>
          <w:rFonts w:asciiTheme="majorHAnsi" w:hAnsiTheme="majorHAnsi" w:cstheme="majorHAnsi"/>
        </w:rPr>
        <w:t xml:space="preserve"> na 24 godziny </w:t>
      </w:r>
      <w:r w:rsidR="001161AF" w:rsidRPr="007A02B5">
        <w:rPr>
          <w:rFonts w:asciiTheme="majorHAnsi" w:hAnsiTheme="majorHAnsi" w:cstheme="majorHAnsi"/>
        </w:rPr>
        <w:t xml:space="preserve">powinno </w:t>
      </w:r>
      <w:r w:rsidR="007A2300" w:rsidRPr="007A02B5">
        <w:rPr>
          <w:rFonts w:asciiTheme="majorHAnsi" w:hAnsiTheme="majorHAnsi" w:cstheme="majorHAnsi"/>
        </w:rPr>
        <w:t xml:space="preserve">wyeliminować </w:t>
      </w:r>
      <w:r w:rsidR="007A4E67" w:rsidRPr="007A02B5">
        <w:rPr>
          <w:rFonts w:asciiTheme="majorHAnsi" w:hAnsiTheme="majorHAnsi" w:cstheme="majorHAnsi"/>
        </w:rPr>
        <w:t>ryzyko</w:t>
      </w:r>
      <w:r w:rsidR="007A2300" w:rsidRPr="007A02B5">
        <w:rPr>
          <w:rFonts w:asciiTheme="majorHAnsi" w:hAnsiTheme="majorHAnsi" w:cstheme="majorHAnsi"/>
        </w:rPr>
        <w:t xml:space="preserve"> kontaktu z wirusem</w:t>
      </w:r>
      <w:r w:rsidR="00AF27E2" w:rsidRPr="007A02B5">
        <w:rPr>
          <w:rFonts w:asciiTheme="majorHAnsi" w:hAnsiTheme="majorHAnsi" w:cstheme="majorHAnsi"/>
        </w:rPr>
        <w:t xml:space="preserve">. Jeżeli jednak chcemy zjeść pieczywo </w:t>
      </w:r>
      <w:r w:rsidR="001D34ED" w:rsidRPr="007A02B5">
        <w:rPr>
          <w:rFonts w:asciiTheme="majorHAnsi" w:hAnsiTheme="majorHAnsi" w:cstheme="majorHAnsi"/>
        </w:rPr>
        <w:t>niedługo</w:t>
      </w:r>
      <w:r w:rsidR="00AF27E2" w:rsidRPr="007A02B5">
        <w:rPr>
          <w:rFonts w:asciiTheme="majorHAnsi" w:hAnsiTheme="majorHAnsi" w:cstheme="majorHAnsi"/>
        </w:rPr>
        <w:t xml:space="preserve"> po przyniesieniu do domu</w:t>
      </w:r>
      <w:r w:rsidR="001D34ED" w:rsidRPr="007A02B5">
        <w:rPr>
          <w:rFonts w:asciiTheme="majorHAnsi" w:hAnsiTheme="majorHAnsi" w:cstheme="majorHAnsi"/>
        </w:rPr>
        <w:t>, zaleca się włożenie go na 3</w:t>
      </w:r>
      <w:r w:rsidR="00940253" w:rsidRPr="007A02B5">
        <w:rPr>
          <w:rFonts w:asciiTheme="majorHAnsi" w:hAnsiTheme="majorHAnsi" w:cstheme="majorHAnsi"/>
        </w:rPr>
        <w:t>-5</w:t>
      </w:r>
      <w:r w:rsidR="001D34ED" w:rsidRPr="007A02B5">
        <w:rPr>
          <w:rFonts w:asciiTheme="majorHAnsi" w:hAnsiTheme="majorHAnsi" w:cstheme="majorHAnsi"/>
        </w:rPr>
        <w:t xml:space="preserve"> minut do piekarnika rozgrzanego do </w:t>
      </w:r>
      <w:r w:rsidR="001161AF" w:rsidRPr="007A02B5">
        <w:rPr>
          <w:rFonts w:asciiTheme="majorHAnsi" w:hAnsiTheme="majorHAnsi" w:cstheme="majorHAnsi"/>
        </w:rPr>
        <w:t>65</w:t>
      </w:r>
      <w:r w:rsidR="001D34ED" w:rsidRPr="007A02B5">
        <w:rPr>
          <w:rFonts w:asciiTheme="majorHAnsi" w:hAnsiTheme="majorHAnsi" w:cstheme="majorHAnsi"/>
        </w:rPr>
        <w:t>st. C. Badania bowiem pokazują, że wirus SARS-CoV-2 ginie w temperaturze</w:t>
      </w:r>
      <w:r w:rsidR="00940253" w:rsidRPr="007A02B5">
        <w:rPr>
          <w:rFonts w:asciiTheme="majorHAnsi" w:hAnsiTheme="majorHAnsi" w:cstheme="majorHAnsi"/>
        </w:rPr>
        <w:t xml:space="preserve"> 70 stopni</w:t>
      </w:r>
      <w:r w:rsidR="001D34ED" w:rsidRPr="007A02B5">
        <w:rPr>
          <w:rFonts w:asciiTheme="majorHAnsi" w:hAnsiTheme="majorHAnsi" w:cstheme="majorHAnsi"/>
        </w:rPr>
        <w:t xml:space="preserve"> </w:t>
      </w:r>
      <w:r w:rsidR="0024295B">
        <w:rPr>
          <w:rFonts w:asciiTheme="majorHAnsi" w:hAnsiTheme="majorHAnsi" w:cstheme="majorHAnsi"/>
        </w:rPr>
        <w:t xml:space="preserve">Celsjusza </w:t>
      </w:r>
      <w:r w:rsidR="001D34ED" w:rsidRPr="007A02B5">
        <w:rPr>
          <w:rFonts w:asciiTheme="majorHAnsi" w:hAnsiTheme="majorHAnsi" w:cstheme="majorHAnsi"/>
        </w:rPr>
        <w:t xml:space="preserve">po około </w:t>
      </w:r>
      <w:r w:rsidR="009B54DE" w:rsidRPr="007A02B5">
        <w:rPr>
          <w:rFonts w:asciiTheme="majorHAnsi" w:hAnsiTheme="majorHAnsi" w:cstheme="majorHAnsi"/>
        </w:rPr>
        <w:t>300</w:t>
      </w:r>
      <w:r w:rsidR="001D34ED" w:rsidRPr="007A02B5">
        <w:rPr>
          <w:rFonts w:asciiTheme="majorHAnsi" w:hAnsiTheme="majorHAnsi" w:cstheme="majorHAnsi"/>
        </w:rPr>
        <w:t xml:space="preserve"> sek</w:t>
      </w:r>
      <w:r w:rsidR="00235614">
        <w:rPr>
          <w:rFonts w:asciiTheme="majorHAnsi" w:hAnsiTheme="majorHAnsi" w:cstheme="majorHAnsi"/>
        </w:rPr>
        <w:t>.</w:t>
      </w:r>
      <w:r w:rsidR="00EB00FE" w:rsidRPr="007A02B5">
        <w:rPr>
          <w:rStyle w:val="Odwoanieprzypisudolnego"/>
          <w:rFonts w:asciiTheme="majorHAnsi" w:hAnsiTheme="majorHAnsi" w:cstheme="majorHAnsi"/>
        </w:rPr>
        <w:footnoteReference w:id="11"/>
      </w:r>
      <w:r w:rsidR="001D34ED" w:rsidRPr="007A02B5">
        <w:rPr>
          <w:rFonts w:asciiTheme="majorHAnsi" w:hAnsiTheme="majorHAnsi" w:cstheme="majorHAnsi"/>
        </w:rPr>
        <w:t>.</w:t>
      </w:r>
      <w:r w:rsidR="001D34ED" w:rsidRPr="00817527">
        <w:rPr>
          <w:rFonts w:asciiTheme="majorHAnsi" w:hAnsiTheme="majorHAnsi" w:cstheme="majorHAnsi"/>
        </w:rPr>
        <w:t xml:space="preserve"> </w:t>
      </w:r>
    </w:p>
    <w:p w14:paraId="4973857C" w14:textId="6FD4AF79" w:rsidR="001D34ED" w:rsidRPr="00817527" w:rsidRDefault="001D34ED" w:rsidP="00817527">
      <w:pPr>
        <w:jc w:val="both"/>
        <w:rPr>
          <w:rFonts w:asciiTheme="majorHAnsi" w:hAnsiTheme="majorHAnsi" w:cstheme="majorHAnsi"/>
        </w:rPr>
      </w:pPr>
    </w:p>
    <w:p w14:paraId="4D5CB575" w14:textId="095D7EDE" w:rsidR="001D34ED" w:rsidRPr="00817527" w:rsidRDefault="001D34ED" w:rsidP="00817527">
      <w:pPr>
        <w:pStyle w:val="Tekstkomentarza"/>
        <w:spacing w:line="276" w:lineRule="auto"/>
        <w:jc w:val="both"/>
        <w:rPr>
          <w:rFonts w:asciiTheme="majorHAnsi" w:hAnsiTheme="majorHAnsi" w:cstheme="majorHAnsi"/>
          <w:sz w:val="22"/>
          <w:szCs w:val="22"/>
        </w:rPr>
      </w:pPr>
      <w:r w:rsidRPr="00817527">
        <w:rPr>
          <w:rFonts w:asciiTheme="majorHAnsi" w:hAnsiTheme="majorHAnsi" w:cstheme="majorHAnsi"/>
          <w:sz w:val="22"/>
          <w:szCs w:val="22"/>
        </w:rPr>
        <w:t xml:space="preserve">Inaczej sprawa ma się z </w:t>
      </w:r>
      <w:r w:rsidRPr="00817527">
        <w:rPr>
          <w:rFonts w:asciiTheme="majorHAnsi" w:hAnsiTheme="majorHAnsi" w:cstheme="majorHAnsi"/>
          <w:b/>
          <w:bCs/>
          <w:sz w:val="22"/>
          <w:szCs w:val="22"/>
        </w:rPr>
        <w:t>opakowaniami produktów spożywczych</w:t>
      </w:r>
      <w:r w:rsidRPr="00817527">
        <w:rPr>
          <w:rFonts w:asciiTheme="majorHAnsi" w:hAnsiTheme="majorHAnsi" w:cstheme="majorHAnsi"/>
          <w:sz w:val="22"/>
          <w:szCs w:val="22"/>
        </w:rPr>
        <w:t xml:space="preserve">. Należy mieć na uwadze, że wykonane są z różnych materiałów (np. tektura, plastik, papier). </w:t>
      </w:r>
      <w:r w:rsidR="00817527" w:rsidRPr="00817527">
        <w:rPr>
          <w:rFonts w:asciiTheme="majorHAnsi" w:hAnsiTheme="majorHAnsi" w:cstheme="majorHAnsi"/>
          <w:sz w:val="22"/>
          <w:szCs w:val="22"/>
        </w:rPr>
        <w:t xml:space="preserve">Zaleca się, aby produkt ostrożnie odpakować uprzednio umytymi rękami, a opakowanie wyrzucić. Ważne jest, aby ręce ponownie umyć i dopiero </w:t>
      </w:r>
      <w:r w:rsidR="00235614">
        <w:rPr>
          <w:rFonts w:asciiTheme="majorHAnsi" w:hAnsiTheme="majorHAnsi" w:cstheme="majorHAnsi"/>
          <w:sz w:val="22"/>
          <w:szCs w:val="22"/>
        </w:rPr>
        <w:t xml:space="preserve">po tej czynności </w:t>
      </w:r>
      <w:r w:rsidR="00817527" w:rsidRPr="00817527">
        <w:rPr>
          <w:rFonts w:asciiTheme="majorHAnsi" w:hAnsiTheme="majorHAnsi" w:cstheme="majorHAnsi"/>
          <w:sz w:val="22"/>
          <w:szCs w:val="22"/>
        </w:rPr>
        <w:t>dotkną</w:t>
      </w:r>
      <w:r w:rsidR="00235614">
        <w:rPr>
          <w:rFonts w:asciiTheme="majorHAnsi" w:hAnsiTheme="majorHAnsi" w:cstheme="majorHAnsi"/>
          <w:sz w:val="22"/>
          <w:szCs w:val="22"/>
        </w:rPr>
        <w:t>ć</w:t>
      </w:r>
      <w:r w:rsidR="00817527" w:rsidRPr="00817527">
        <w:rPr>
          <w:rFonts w:asciiTheme="majorHAnsi" w:hAnsiTheme="majorHAnsi" w:cstheme="majorHAnsi"/>
          <w:sz w:val="22"/>
          <w:szCs w:val="22"/>
        </w:rPr>
        <w:t xml:space="preserve"> zwartość opakowania, umieszczając</w:t>
      </w:r>
      <w:r w:rsidR="00235614">
        <w:rPr>
          <w:rFonts w:asciiTheme="majorHAnsi" w:hAnsiTheme="majorHAnsi" w:cstheme="majorHAnsi"/>
          <w:sz w:val="22"/>
          <w:szCs w:val="22"/>
        </w:rPr>
        <w:t xml:space="preserve"> ją</w:t>
      </w:r>
      <w:r w:rsidR="00817527" w:rsidRPr="00817527">
        <w:rPr>
          <w:rFonts w:asciiTheme="majorHAnsi" w:hAnsiTheme="majorHAnsi" w:cstheme="majorHAnsi"/>
          <w:sz w:val="22"/>
          <w:szCs w:val="22"/>
        </w:rPr>
        <w:t xml:space="preserve"> w czystym pojemniku przeznaczonym do przechowywania </w:t>
      </w:r>
      <w:r w:rsidR="00235614">
        <w:rPr>
          <w:rFonts w:asciiTheme="majorHAnsi" w:hAnsiTheme="majorHAnsi" w:cstheme="majorHAnsi"/>
          <w:sz w:val="22"/>
          <w:szCs w:val="22"/>
        </w:rPr>
        <w:t>produktów spożywczych</w:t>
      </w:r>
      <w:r w:rsidR="00817527" w:rsidRPr="00817527">
        <w:rPr>
          <w:rFonts w:asciiTheme="majorHAnsi" w:hAnsiTheme="majorHAnsi" w:cstheme="majorHAnsi"/>
          <w:sz w:val="22"/>
          <w:szCs w:val="22"/>
        </w:rPr>
        <w:t xml:space="preserve">. </w:t>
      </w:r>
      <w:r w:rsidRPr="00817527">
        <w:rPr>
          <w:rFonts w:asciiTheme="majorHAnsi" w:hAnsiTheme="majorHAnsi" w:cstheme="majorHAnsi"/>
          <w:sz w:val="22"/>
          <w:szCs w:val="22"/>
        </w:rPr>
        <w:t>Szczególną ostrożność należy zachować w przypadku mrożonek. Ich umycie pod bieżącą ciepłą wodą najpewniej spowoduje częściowe rozmrożenie, a jednocześni</w:t>
      </w:r>
      <w:r w:rsidR="00483119" w:rsidRPr="00817527">
        <w:rPr>
          <w:rFonts w:asciiTheme="majorHAnsi" w:hAnsiTheme="majorHAnsi" w:cstheme="majorHAnsi"/>
          <w:sz w:val="22"/>
          <w:szCs w:val="22"/>
        </w:rPr>
        <w:t>e</w:t>
      </w:r>
      <w:r w:rsidRPr="00817527">
        <w:rPr>
          <w:rFonts w:asciiTheme="majorHAnsi" w:hAnsiTheme="majorHAnsi" w:cstheme="majorHAnsi"/>
          <w:sz w:val="22"/>
          <w:szCs w:val="22"/>
        </w:rPr>
        <w:t xml:space="preserve"> wiemy, że to właśnie w zamrażarce wirus </w:t>
      </w:r>
      <w:r w:rsidR="00817527">
        <w:rPr>
          <w:rFonts w:asciiTheme="majorHAnsi" w:hAnsiTheme="majorHAnsi" w:cstheme="majorHAnsi"/>
          <w:sz w:val="22"/>
          <w:szCs w:val="22"/>
        </w:rPr>
        <w:t>przetrwa najdłużej.</w:t>
      </w:r>
      <w:r w:rsidRPr="00817527">
        <w:rPr>
          <w:rFonts w:asciiTheme="majorHAnsi" w:hAnsiTheme="majorHAnsi" w:cstheme="majorHAnsi"/>
          <w:sz w:val="22"/>
          <w:szCs w:val="22"/>
        </w:rPr>
        <w:t xml:space="preserve"> Dlatego najlepiej</w:t>
      </w:r>
      <w:r w:rsidR="00980279">
        <w:rPr>
          <w:rFonts w:asciiTheme="majorHAnsi" w:hAnsiTheme="majorHAnsi" w:cstheme="majorHAnsi"/>
          <w:sz w:val="22"/>
          <w:szCs w:val="22"/>
        </w:rPr>
        <w:t xml:space="preserve"> zastosować podobną zasadę co w przypadku innych opakowanych produktów, czyli po umyciu rąk przenieść zawartość </w:t>
      </w:r>
      <w:r w:rsidR="00980279" w:rsidRPr="00980279">
        <w:rPr>
          <w:rFonts w:asciiTheme="majorHAnsi" w:hAnsiTheme="majorHAnsi" w:cstheme="majorHAnsi"/>
          <w:sz w:val="22"/>
          <w:szCs w:val="22"/>
        </w:rPr>
        <w:t>opakowania do opakowań na mrożonki.</w:t>
      </w:r>
      <w:r w:rsidRPr="00980279">
        <w:rPr>
          <w:rFonts w:asciiTheme="majorHAnsi" w:hAnsiTheme="majorHAnsi" w:cstheme="majorHAnsi"/>
          <w:sz w:val="22"/>
          <w:szCs w:val="22"/>
        </w:rPr>
        <w:t xml:space="preserve"> Produkty suche, w papierowych i tekturowych opakowaniach należy </w:t>
      </w:r>
      <w:r w:rsidR="00980279" w:rsidRPr="00980279">
        <w:rPr>
          <w:rFonts w:asciiTheme="majorHAnsi" w:hAnsiTheme="majorHAnsi" w:cstheme="majorHAnsi"/>
          <w:sz w:val="22"/>
          <w:szCs w:val="22"/>
        </w:rPr>
        <w:t>pozostawić na 24h bez dostępu dzieci, po tym czasie wirusa nie powinno już być na powierzchni opakowania</w:t>
      </w:r>
      <w:r w:rsidR="007A02B5">
        <w:rPr>
          <w:rStyle w:val="Odwoanieprzypisudolnego"/>
          <w:rFonts w:asciiTheme="majorHAnsi" w:hAnsiTheme="majorHAnsi" w:cstheme="majorHAnsi"/>
          <w:sz w:val="22"/>
          <w:szCs w:val="22"/>
        </w:rPr>
        <w:footnoteReference w:id="12"/>
      </w:r>
      <w:r w:rsidR="00980279" w:rsidRPr="00980279">
        <w:rPr>
          <w:rFonts w:asciiTheme="majorHAnsi" w:hAnsiTheme="majorHAnsi" w:cstheme="majorHAnsi"/>
          <w:sz w:val="22"/>
          <w:szCs w:val="22"/>
        </w:rPr>
        <w:t>.</w:t>
      </w:r>
    </w:p>
    <w:p w14:paraId="7A485E4E" w14:textId="1CD99FB7" w:rsidR="00AB0DC6" w:rsidRDefault="00AB0DC6" w:rsidP="00AB0DC6">
      <w:pPr>
        <w:jc w:val="both"/>
        <w:rPr>
          <w:rFonts w:asciiTheme="majorHAnsi" w:hAnsiTheme="majorHAnsi" w:cstheme="majorHAnsi"/>
          <w:i/>
          <w:iCs/>
        </w:rPr>
      </w:pPr>
    </w:p>
    <w:p w14:paraId="63D0EECB" w14:textId="247BD8A3" w:rsidR="00E745D4" w:rsidRDefault="00E745D4" w:rsidP="00AB0DC6">
      <w:pPr>
        <w:jc w:val="both"/>
        <w:rPr>
          <w:rFonts w:asciiTheme="majorHAnsi" w:hAnsiTheme="majorHAnsi" w:cstheme="majorHAnsi"/>
        </w:rPr>
      </w:pPr>
      <w:r w:rsidRPr="00E745D4">
        <w:rPr>
          <w:rFonts w:asciiTheme="majorHAnsi" w:hAnsiTheme="majorHAnsi" w:cstheme="majorHAnsi"/>
        </w:rPr>
        <w:t xml:space="preserve">Dla </w:t>
      </w:r>
      <w:r w:rsidRPr="00E745D4">
        <w:rPr>
          <w:rFonts w:asciiTheme="majorHAnsi" w:hAnsiTheme="majorHAnsi" w:cstheme="majorHAnsi"/>
          <w:b/>
          <w:bCs/>
        </w:rPr>
        <w:t>zachowania bezpieczeństwa</w:t>
      </w:r>
      <w:r w:rsidRPr="00E745D4">
        <w:rPr>
          <w:rFonts w:asciiTheme="majorHAnsi" w:hAnsiTheme="majorHAnsi" w:cstheme="majorHAnsi"/>
        </w:rPr>
        <w:t xml:space="preserve"> kluczowe jest również</w:t>
      </w:r>
      <w:r>
        <w:rPr>
          <w:rFonts w:asciiTheme="majorHAnsi" w:hAnsiTheme="majorHAnsi" w:cstheme="majorHAnsi"/>
        </w:rPr>
        <w:t xml:space="preserve">, aby zaraz po przyjściu do domu, jeszcze zanim rozpoczniemy rozpakowywanie zakupów, umyć ręce. Podczas rozpakowywania żywności należy uważać, aby nie dotykać dłońmi twarzy. Na koniec należy zdezynfekować wszystkie powierzchnie, z </w:t>
      </w:r>
      <w:r>
        <w:rPr>
          <w:rFonts w:asciiTheme="majorHAnsi" w:hAnsiTheme="majorHAnsi" w:cstheme="majorHAnsi"/>
        </w:rPr>
        <w:lastRenderedPageBreak/>
        <w:t xml:space="preserve">którymi miała styczność przyniesiona żywność. Torbę wielorazowego użytku najlepiej od razu uprać. Na koniec należy ponownie umyć </w:t>
      </w:r>
      <w:r w:rsidR="00980279">
        <w:rPr>
          <w:rFonts w:asciiTheme="majorHAnsi" w:hAnsiTheme="majorHAnsi" w:cstheme="majorHAnsi"/>
        </w:rPr>
        <w:t xml:space="preserve">i zdezynfekować </w:t>
      </w:r>
      <w:r>
        <w:rPr>
          <w:rFonts w:asciiTheme="majorHAnsi" w:hAnsiTheme="majorHAnsi" w:cstheme="majorHAnsi"/>
        </w:rPr>
        <w:t>dłonie</w:t>
      </w:r>
      <w:r w:rsidR="00980279">
        <w:rPr>
          <w:rFonts w:asciiTheme="majorHAnsi" w:hAnsiTheme="majorHAnsi" w:cstheme="majorHAnsi"/>
        </w:rPr>
        <w:t xml:space="preserve"> preparatem do dezynfekcji rąk na bazie alkoholu</w:t>
      </w:r>
      <w:r>
        <w:rPr>
          <w:rFonts w:asciiTheme="majorHAnsi" w:hAnsiTheme="majorHAnsi" w:cstheme="majorHAnsi"/>
        </w:rPr>
        <w:t xml:space="preserve">. </w:t>
      </w:r>
    </w:p>
    <w:p w14:paraId="2F06779D" w14:textId="77777777" w:rsidR="0024295B" w:rsidRDefault="0024295B" w:rsidP="00DF52E5">
      <w:pPr>
        <w:jc w:val="both"/>
        <w:rPr>
          <w:rFonts w:asciiTheme="majorHAnsi" w:hAnsiTheme="majorHAnsi" w:cstheme="majorHAnsi"/>
        </w:rPr>
      </w:pPr>
    </w:p>
    <w:p w14:paraId="7CFE9065" w14:textId="77777777" w:rsidR="00D07973" w:rsidRPr="007444BA" w:rsidRDefault="00D07973" w:rsidP="00D07973">
      <w:pPr>
        <w:jc w:val="both"/>
        <w:rPr>
          <w:rFonts w:asciiTheme="majorHAnsi" w:hAnsiTheme="majorHAnsi" w:cstheme="majorHAnsi"/>
          <w:b/>
        </w:rPr>
      </w:pPr>
      <w:bookmarkStart w:id="1" w:name="_Hlk38453408"/>
      <w:r w:rsidRPr="007444BA">
        <w:rPr>
          <w:rFonts w:asciiTheme="majorHAnsi" w:hAnsiTheme="majorHAnsi" w:cstheme="majorHAnsi"/>
          <w:b/>
        </w:rPr>
        <w:t>Kontakt</w:t>
      </w:r>
      <w:r>
        <w:rPr>
          <w:rFonts w:asciiTheme="majorHAnsi" w:hAnsiTheme="majorHAnsi" w:cstheme="majorHAnsi"/>
          <w:b/>
        </w:rPr>
        <w:t xml:space="preserve"> dla mediów</w:t>
      </w:r>
      <w:r w:rsidRPr="007444BA">
        <w:rPr>
          <w:rFonts w:asciiTheme="majorHAnsi" w:hAnsiTheme="majorHAnsi" w:cstheme="majorHAnsi"/>
          <w:b/>
        </w:rPr>
        <w:t>:</w:t>
      </w:r>
    </w:p>
    <w:p w14:paraId="3CDAE1A4" w14:textId="77777777" w:rsidR="00AC75DA" w:rsidRDefault="007A02B5" w:rsidP="00D07973">
      <w:pPr>
        <w:spacing w:line="240" w:lineRule="auto"/>
        <w:jc w:val="both"/>
        <w:rPr>
          <w:rFonts w:ascii="Calibri" w:hAnsi="Calibri" w:cs="Calibri"/>
        </w:rPr>
      </w:pPr>
      <w:r>
        <w:rPr>
          <w:rFonts w:ascii="Calibri" w:hAnsi="Calibri" w:cs="Calibri"/>
        </w:rPr>
        <w:t>Marta Radomska</w:t>
      </w:r>
    </w:p>
    <w:p w14:paraId="4CF678F6" w14:textId="600BB991" w:rsidR="00D07973" w:rsidRDefault="007A02B5" w:rsidP="00D07973">
      <w:pPr>
        <w:spacing w:line="240" w:lineRule="auto"/>
        <w:jc w:val="both"/>
        <w:rPr>
          <w:rFonts w:ascii="Calibri" w:hAnsi="Calibri" w:cs="Calibri"/>
        </w:rPr>
      </w:pPr>
      <w:proofErr w:type="spellStart"/>
      <w:r>
        <w:rPr>
          <w:rFonts w:ascii="Calibri" w:hAnsi="Calibri" w:cs="Calibri"/>
        </w:rPr>
        <w:t>Account</w:t>
      </w:r>
      <w:proofErr w:type="spellEnd"/>
      <w:r>
        <w:rPr>
          <w:rFonts w:ascii="Calibri" w:hAnsi="Calibri" w:cs="Calibri"/>
        </w:rPr>
        <w:t xml:space="preserve"> Manager</w:t>
      </w:r>
      <w:r w:rsidR="00D07973">
        <w:rPr>
          <w:rFonts w:ascii="Calibri" w:hAnsi="Calibri" w:cs="Calibri"/>
        </w:rPr>
        <w:t xml:space="preserve"> PR Hub</w:t>
      </w:r>
    </w:p>
    <w:p w14:paraId="268B6264" w14:textId="3E1E922B" w:rsidR="00D07973" w:rsidRPr="00235614" w:rsidRDefault="007A02B5" w:rsidP="00D07973">
      <w:pPr>
        <w:spacing w:line="240" w:lineRule="auto"/>
        <w:jc w:val="both"/>
        <w:rPr>
          <w:rFonts w:ascii="Calibri" w:hAnsi="Calibri" w:cs="Calibri"/>
          <w:lang w:val="en-US"/>
        </w:rPr>
      </w:pPr>
      <w:r w:rsidRPr="00235614">
        <w:rPr>
          <w:rFonts w:ascii="Calibri" w:hAnsi="Calibri" w:cs="Calibri"/>
          <w:lang w:val="en-US"/>
        </w:rPr>
        <w:t>Marta.radomska</w:t>
      </w:r>
      <w:r w:rsidR="00D07973" w:rsidRPr="00235614">
        <w:rPr>
          <w:rFonts w:ascii="Calibri" w:hAnsi="Calibri" w:cs="Calibri"/>
          <w:lang w:val="en-US"/>
        </w:rPr>
        <w:t xml:space="preserve">@prhub.eu </w:t>
      </w:r>
    </w:p>
    <w:p w14:paraId="4C4A54D1" w14:textId="7406ED2D" w:rsidR="00D07973" w:rsidRPr="00235614" w:rsidRDefault="00D07973" w:rsidP="00D07973">
      <w:pPr>
        <w:spacing w:line="240" w:lineRule="auto"/>
        <w:jc w:val="both"/>
        <w:rPr>
          <w:rFonts w:ascii="Calibri" w:hAnsi="Calibri" w:cs="Calibri"/>
          <w:lang w:val="en-US"/>
        </w:rPr>
      </w:pPr>
      <w:r w:rsidRPr="00235614">
        <w:rPr>
          <w:rFonts w:ascii="Calibri" w:hAnsi="Calibri" w:cs="Calibri"/>
          <w:lang w:val="en-US"/>
        </w:rPr>
        <w:t>tel. +48</w:t>
      </w:r>
      <w:r w:rsidR="007A02B5" w:rsidRPr="00235614">
        <w:rPr>
          <w:rFonts w:ascii="Calibri" w:hAnsi="Calibri" w:cs="Calibri"/>
          <w:lang w:val="en-US"/>
        </w:rPr>
        <w:t> 600 414 634</w:t>
      </w:r>
    </w:p>
    <w:p w14:paraId="5A9876BE" w14:textId="60FF0C3B" w:rsidR="00D07973" w:rsidRPr="00235614" w:rsidRDefault="00235614" w:rsidP="00D07973">
      <w:pPr>
        <w:spacing w:line="240" w:lineRule="auto"/>
        <w:jc w:val="both"/>
        <w:rPr>
          <w:rFonts w:ascii="Calibri" w:hAnsi="Calibri" w:cs="Calibri"/>
          <w:lang w:val="en-US"/>
        </w:rPr>
      </w:pPr>
      <w:r w:rsidRPr="00235614">
        <w:rPr>
          <w:rFonts w:ascii="Calibri" w:hAnsi="Calibri" w:cs="Calibri"/>
          <w:lang w:val="en-US"/>
        </w:rPr>
        <w:t>www.prhub.eu</w:t>
      </w:r>
    </w:p>
    <w:p w14:paraId="5AA4C27F" w14:textId="6FFEF3CE" w:rsidR="00D07973" w:rsidRPr="00235614" w:rsidRDefault="007C3E96" w:rsidP="00D07973">
      <w:pPr>
        <w:jc w:val="both"/>
        <w:rPr>
          <w:rFonts w:asciiTheme="majorHAnsi" w:hAnsiTheme="majorHAnsi" w:cstheme="majorHAnsi"/>
          <w:lang w:val="en-US"/>
        </w:rPr>
      </w:pPr>
      <w:hyperlink r:id="rId11" w:history="1">
        <w:r w:rsidR="00235614" w:rsidRPr="00235614">
          <w:rPr>
            <w:rStyle w:val="Hipercze"/>
            <w:rFonts w:asciiTheme="majorHAnsi" w:hAnsiTheme="majorHAnsi" w:cstheme="majorHAnsi"/>
            <w:lang w:val="en-US"/>
          </w:rPr>
          <w:t>http://www.prhub.eu</w:t>
        </w:r>
      </w:hyperlink>
    </w:p>
    <w:bookmarkEnd w:id="1"/>
    <w:p w14:paraId="729AE027" w14:textId="77777777" w:rsidR="00235614" w:rsidRPr="00C01031" w:rsidRDefault="00235614" w:rsidP="00D07973">
      <w:pPr>
        <w:rPr>
          <w:rFonts w:asciiTheme="majorHAnsi" w:hAnsiTheme="majorHAnsi" w:cstheme="majorHAnsi"/>
          <w:b/>
          <w:lang w:val="en-US"/>
        </w:rPr>
      </w:pPr>
    </w:p>
    <w:p w14:paraId="3EE5AA6E" w14:textId="77777777" w:rsidR="00D07973" w:rsidRDefault="00D07973" w:rsidP="00D07973">
      <w:pPr>
        <w:spacing w:after="200"/>
        <w:rPr>
          <w:rFonts w:ascii="Tahoma" w:hAnsi="Tahoma" w:cs="Tahoma"/>
          <w:sz w:val="18"/>
          <w:szCs w:val="18"/>
          <w:lang w:val="pl-PL"/>
        </w:rPr>
      </w:pPr>
      <w:r w:rsidRPr="006A145D">
        <w:rPr>
          <w:noProof/>
          <w:lang w:val="pl-PL"/>
        </w:rPr>
        <w:drawing>
          <wp:inline distT="0" distB="0" distL="0" distR="0" wp14:anchorId="359FCAA1" wp14:editId="4E2D5B0E">
            <wp:extent cx="311150" cy="311150"/>
            <wp:effectExtent l="0" t="0" r="0" b="0"/>
            <wp:docPr id="3" name="Obraz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a:hlinkClick r:id="rId12"/>
                    </pic:cNvPr>
                    <pic:cNvPicPr/>
                  </pic:nvPicPr>
                  <pic:blipFill>
                    <a:blip r:embed="rId13"/>
                    <a:stretch>
                      <a:fillRect/>
                    </a:stretch>
                  </pic:blipFill>
                  <pic:spPr>
                    <a:xfrm>
                      <a:off x="0" y="0"/>
                      <a:ext cx="311150" cy="311150"/>
                    </a:xfrm>
                    <a:prstGeom prst="rect">
                      <a:avLst/>
                    </a:prstGeom>
                  </pic:spPr>
                </pic:pic>
              </a:graphicData>
            </a:graphic>
          </wp:inline>
        </w:drawing>
      </w:r>
    </w:p>
    <w:p w14:paraId="0BC81D33" w14:textId="77777777" w:rsidR="00D07973" w:rsidRDefault="00D07973" w:rsidP="00D07973">
      <w:pPr>
        <w:spacing w:after="200"/>
        <w:rPr>
          <w:rFonts w:ascii="Tahoma" w:hAnsi="Tahoma" w:cs="Tahoma"/>
          <w:sz w:val="18"/>
          <w:szCs w:val="18"/>
          <w:lang w:val="pl-PL"/>
        </w:rPr>
      </w:pPr>
      <w:r w:rsidRPr="006A145D">
        <w:rPr>
          <w:noProof/>
          <w:lang w:val="pl-PL"/>
        </w:rPr>
        <w:drawing>
          <wp:anchor distT="0" distB="0" distL="114300" distR="114300" simplePos="0" relativeHeight="251659264" behindDoc="0" locked="0" layoutInCell="1" allowOverlap="1" wp14:anchorId="3D0AF663" wp14:editId="689B06AF">
            <wp:simplePos x="0" y="0"/>
            <wp:positionH relativeFrom="margin">
              <wp:align>left</wp:align>
            </wp:positionH>
            <wp:positionV relativeFrom="paragraph">
              <wp:posOffset>8255</wp:posOffset>
            </wp:positionV>
            <wp:extent cx="273600" cy="230400"/>
            <wp:effectExtent l="0" t="0" r="0" b="0"/>
            <wp:wrapSquare wrapText="bothSides"/>
            <wp:docPr id="4" name="Obraz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hlinkClick r:id="rId14"/>
                    </pic:cNvPr>
                    <pic:cNvPicPr/>
                  </pic:nvPicPr>
                  <pic:blipFill rotWithShape="1">
                    <a:blip r:embed="rId15" cstate="print">
                      <a:extLst>
                        <a:ext uri="{28A0092B-C50C-407E-A947-70E740481C1C}">
                          <a14:useLocalDpi xmlns:a14="http://schemas.microsoft.com/office/drawing/2010/main" val="0"/>
                        </a:ext>
                      </a:extLst>
                    </a:blip>
                    <a:srcRect l="11236" t="1667" b="-1"/>
                    <a:stretch/>
                  </pic:blipFill>
                  <pic:spPr bwMode="auto">
                    <a:xfrm>
                      <a:off x="0" y="0"/>
                      <a:ext cx="273600" cy="23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sz w:val="18"/>
          <w:szCs w:val="18"/>
          <w:lang w:val="pl-PL"/>
        </w:rPr>
        <w:t xml:space="preserve"> </w:t>
      </w:r>
    </w:p>
    <w:p w14:paraId="1714DBD6" w14:textId="77777777" w:rsidR="00D07973" w:rsidRDefault="00D07973" w:rsidP="00D07973">
      <w:pPr>
        <w:spacing w:after="200"/>
        <w:rPr>
          <w:rFonts w:ascii="Tahoma" w:hAnsi="Tahoma" w:cs="Tahoma"/>
          <w:sz w:val="18"/>
          <w:szCs w:val="18"/>
          <w:lang w:val="pl-PL"/>
        </w:rPr>
      </w:pPr>
    </w:p>
    <w:p w14:paraId="0B1B6935" w14:textId="77777777" w:rsidR="00D07973" w:rsidRPr="006A145D" w:rsidRDefault="00D07973" w:rsidP="00C01031">
      <w:pPr>
        <w:pStyle w:val="Stopka"/>
        <w:spacing w:after="200"/>
        <w:jc w:val="both"/>
      </w:pPr>
      <w:r w:rsidRPr="00290E3C">
        <w:rPr>
          <w:rFonts w:asciiTheme="majorHAnsi" w:hAnsiTheme="majorHAnsi"/>
          <w:noProof/>
          <w:color w:val="808080" w:themeColor="background1" w:themeShade="80"/>
          <w:sz w:val="20"/>
          <w:szCs w:val="20"/>
        </w:rPr>
        <w:t>PR Hub</w:t>
      </w:r>
      <w:r w:rsidRPr="00290E3C">
        <w:rPr>
          <w:rFonts w:asciiTheme="majorHAnsi" w:hAnsiTheme="majorHAnsi" w:cs="Times Roman"/>
          <w:color w:val="808080" w:themeColor="background1" w:themeShade="80"/>
          <w:sz w:val="20"/>
          <w:szCs w:val="20"/>
        </w:rPr>
        <w:t xml:space="preserve"> świadczy wysokiej jakości usługi z obszaru PR i public </w:t>
      </w:r>
      <w:proofErr w:type="spellStart"/>
      <w:r w:rsidRPr="00290E3C">
        <w:rPr>
          <w:rFonts w:asciiTheme="majorHAnsi" w:hAnsiTheme="majorHAnsi" w:cs="Times Roman"/>
          <w:color w:val="808080" w:themeColor="background1" w:themeShade="80"/>
          <w:sz w:val="20"/>
          <w:szCs w:val="20"/>
        </w:rPr>
        <w:t>affa</w:t>
      </w:r>
      <w:r>
        <w:rPr>
          <w:rFonts w:asciiTheme="majorHAnsi" w:hAnsiTheme="majorHAnsi" w:cs="Times Roman"/>
          <w:color w:val="808080" w:themeColor="background1" w:themeShade="80"/>
          <w:sz w:val="20"/>
          <w:szCs w:val="20"/>
        </w:rPr>
        <w:t>i</w:t>
      </w:r>
      <w:r w:rsidRPr="00290E3C">
        <w:rPr>
          <w:rFonts w:asciiTheme="majorHAnsi" w:hAnsiTheme="majorHAnsi" w:cs="Times Roman"/>
          <w:color w:val="808080" w:themeColor="background1" w:themeShade="80"/>
          <w:sz w:val="20"/>
          <w:szCs w:val="20"/>
        </w:rPr>
        <w:t>rs</w:t>
      </w:r>
      <w:proofErr w:type="spellEnd"/>
      <w:r w:rsidRPr="00290E3C">
        <w:rPr>
          <w:rFonts w:asciiTheme="majorHAnsi" w:hAnsiTheme="majorHAnsi" w:cs="Times Roman"/>
          <w:color w:val="808080" w:themeColor="background1" w:themeShade="80"/>
          <w:sz w:val="20"/>
          <w:szCs w:val="20"/>
        </w:rPr>
        <w:t>. Dbamy o wizerunek naszych klientów w wymagającej, dynamicznie zmieniającej się rzeczywistości rynkowej i cyfrowym świecie. Kreujemy możliwości, budujemy narracje, kreślimy strategie z wykorzystaniem tradycyjnych i innowacyjnych narzędzi komunikacji. Ściśle współpracujemy z liderami opinii i kluczowymi dla organizacji grupami otoczenia</w:t>
      </w:r>
      <w:r>
        <w:rPr>
          <w:rFonts w:asciiTheme="majorHAnsi" w:hAnsiTheme="majorHAnsi" w:cs="Times Roman"/>
          <w:color w:val="808080" w:themeColor="background1" w:themeShade="80"/>
          <w:sz w:val="20"/>
          <w:szCs w:val="20"/>
        </w:rPr>
        <w:t>.</w:t>
      </w:r>
    </w:p>
    <w:p w14:paraId="005505D8" w14:textId="03BC07FD" w:rsidR="00615181" w:rsidRPr="004646F2" w:rsidRDefault="00302F43" w:rsidP="00C01031">
      <w:pPr>
        <w:spacing w:line="240" w:lineRule="auto"/>
        <w:jc w:val="both"/>
        <w:rPr>
          <w:rFonts w:asciiTheme="majorHAnsi" w:hAnsiTheme="majorHAnsi" w:cstheme="majorHAnsi"/>
          <w:color w:val="808080" w:themeColor="background1" w:themeShade="80"/>
          <w:sz w:val="20"/>
          <w:szCs w:val="20"/>
          <w:lang w:val="pl-PL"/>
        </w:rPr>
      </w:pPr>
      <w:r w:rsidRPr="004646F2">
        <w:rPr>
          <w:rFonts w:asciiTheme="majorHAnsi" w:hAnsiTheme="majorHAnsi" w:cstheme="majorHAnsi"/>
          <w:color w:val="808080" w:themeColor="background1" w:themeShade="80"/>
          <w:sz w:val="20"/>
          <w:szCs w:val="20"/>
          <w:lang w:val="pl-PL"/>
        </w:rPr>
        <w:t>Wydział Nauk o Zdrowiu WUM jest jednym z największych tego typu wydziałów w Polsce, gdzie i kształci się obecnie około 4000 studentów na 5 kierunkach studiów (m.in. dietetyka, pielęgniarstwo, zdrowie publiczne). Wydział realizuje strategię społecznej odpowiedzialności nauki i prowadzi szeroką działalność edukacyjną i popularyzatorską organizując kampanie społeczne, ogólnodostępne wykłady i zajęcia, obejmując patronatem licea czy włączając się w aktywność Festiwalu Nauki oraz Pikniku Naukowego.</w:t>
      </w:r>
    </w:p>
    <w:sectPr w:rsidR="00615181" w:rsidRPr="004646F2">
      <w:headerReference w:type="default" r:id="rId16"/>
      <w:footerReference w:type="default" r:id="rId17"/>
      <w:pgSz w:w="11909" w:h="16834"/>
      <w:pgMar w:top="1440" w:right="1440" w:bottom="1440" w:left="1440" w:header="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103B" w14:textId="77777777" w:rsidR="007C3E96" w:rsidRDefault="007C3E96">
      <w:pPr>
        <w:spacing w:line="240" w:lineRule="auto"/>
      </w:pPr>
      <w:r>
        <w:separator/>
      </w:r>
    </w:p>
  </w:endnote>
  <w:endnote w:type="continuationSeparator" w:id="0">
    <w:p w14:paraId="019DBB4C" w14:textId="77777777" w:rsidR="007C3E96" w:rsidRDefault="007C3E96">
      <w:pPr>
        <w:spacing w:line="240" w:lineRule="auto"/>
      </w:pPr>
      <w:r>
        <w:continuationSeparator/>
      </w:r>
    </w:p>
  </w:endnote>
  <w:endnote w:type="continuationNotice" w:id="1">
    <w:p w14:paraId="40A04881" w14:textId="77777777" w:rsidR="007C3E96" w:rsidRDefault="007C3E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EA5B" w14:textId="77777777" w:rsidR="0086180F" w:rsidRDefault="00125C1F">
    <w:r>
      <w:rPr>
        <w:noProof/>
      </w:rPr>
      <w:drawing>
        <wp:anchor distT="0" distB="0" distL="0" distR="0" simplePos="0" relativeHeight="251659264" behindDoc="0" locked="0" layoutInCell="1" hidden="0" allowOverlap="1" wp14:anchorId="0E4ABFF3" wp14:editId="64B28938">
          <wp:simplePos x="0" y="0"/>
          <wp:positionH relativeFrom="margin">
            <wp:posOffset>-912495</wp:posOffset>
          </wp:positionH>
          <wp:positionV relativeFrom="paragraph">
            <wp:posOffset>-200025</wp:posOffset>
          </wp:positionV>
          <wp:extent cx="7576185" cy="600710"/>
          <wp:effectExtent l="0" t="0" r="5715" b="889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76185" cy="600710"/>
                  </a:xfrm>
                  <a:prstGeom prst="rect">
                    <a:avLst/>
                  </a:prstGeom>
                  <a:ln/>
                </pic:spPr>
              </pic:pic>
            </a:graphicData>
          </a:graphic>
          <wp14:sizeRelH relativeFrom="margin">
            <wp14:pctWidth>0</wp14:pctWidth>
          </wp14:sizeRelH>
          <wp14:sizeRelV relativeFrom="margin">
            <wp14:pctHeight>0</wp14:pctHeight>
          </wp14:sizeRelV>
        </wp:anchor>
      </w:drawing>
    </w:r>
    <w:r>
      <w:rPr>
        <w:noProof/>
      </w:rPr>
      <w:softHyphen/>
    </w:r>
    <w:r>
      <w:rPr>
        <w:noProof/>
      </w:rPr>
      <w:softHyphen/>
    </w:r>
    <w:r>
      <w:rPr>
        <w:noProof/>
      </w:rPr>
      <w:softHyphen/>
    </w: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C446" w14:textId="77777777" w:rsidR="007C3E96" w:rsidRDefault="007C3E96">
      <w:pPr>
        <w:spacing w:line="240" w:lineRule="auto"/>
      </w:pPr>
      <w:r>
        <w:separator/>
      </w:r>
    </w:p>
  </w:footnote>
  <w:footnote w:type="continuationSeparator" w:id="0">
    <w:p w14:paraId="3D3538CF" w14:textId="77777777" w:rsidR="007C3E96" w:rsidRDefault="007C3E96">
      <w:pPr>
        <w:spacing w:line="240" w:lineRule="auto"/>
      </w:pPr>
      <w:r>
        <w:continuationSeparator/>
      </w:r>
    </w:p>
  </w:footnote>
  <w:footnote w:type="continuationNotice" w:id="1">
    <w:p w14:paraId="1F30812F" w14:textId="77777777" w:rsidR="007C3E96" w:rsidRDefault="007C3E96">
      <w:pPr>
        <w:spacing w:line="240" w:lineRule="auto"/>
      </w:pPr>
    </w:p>
  </w:footnote>
  <w:footnote w:id="2">
    <w:p w14:paraId="25829B9D" w14:textId="3BAB2D97" w:rsidR="00B02560" w:rsidRPr="00235614" w:rsidRDefault="00B02560">
      <w:pPr>
        <w:pStyle w:val="Tekstprzypisudolnego"/>
        <w:rPr>
          <w:rFonts w:asciiTheme="majorHAnsi" w:hAnsiTheme="majorHAnsi" w:cstheme="majorHAnsi"/>
          <w:sz w:val="16"/>
          <w:szCs w:val="16"/>
          <w:lang w:val="en-US"/>
        </w:rPr>
      </w:pPr>
      <w:r w:rsidRPr="007A02B5">
        <w:rPr>
          <w:sz w:val="12"/>
          <w:szCs w:val="12"/>
          <w:lang w:val="en-US"/>
        </w:rPr>
        <w:footnoteRef/>
      </w:r>
      <w:r w:rsidRPr="007A02B5">
        <w:rPr>
          <w:sz w:val="12"/>
          <w:szCs w:val="12"/>
          <w:lang w:val="en-US"/>
        </w:rPr>
        <w:t xml:space="preserve"> </w:t>
      </w:r>
      <w:r w:rsidRPr="00235614">
        <w:rPr>
          <w:rFonts w:asciiTheme="majorHAnsi" w:hAnsiTheme="majorHAnsi" w:cstheme="majorHAnsi"/>
          <w:sz w:val="16"/>
          <w:szCs w:val="16"/>
          <w:lang w:val="en-US"/>
        </w:rPr>
        <w:t>FDA. Food Safety and the Coronavirus Disease 2019 (COVID-19) [March 17, 2020]</w:t>
      </w:r>
    </w:p>
  </w:footnote>
  <w:footnote w:id="3">
    <w:p w14:paraId="48F9F108" w14:textId="45484A7E" w:rsidR="0057416E" w:rsidRPr="00235614" w:rsidRDefault="0057416E" w:rsidP="0057416E">
      <w:pPr>
        <w:pStyle w:val="Tekstprzypisudolnego"/>
        <w:rPr>
          <w:rFonts w:asciiTheme="majorHAnsi" w:hAnsiTheme="majorHAnsi" w:cstheme="majorHAnsi"/>
          <w:sz w:val="16"/>
          <w:szCs w:val="16"/>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van Doremalen, N., et al. (2020). "Aerosol and Surface Stability of SARS-CoV-2 as Compared with SARS-CoV-1." New England Journal of Medicine, 382(16): 1564-1567 </w:t>
      </w:r>
      <w:hyperlink r:id="rId1" w:history="1">
        <w:r w:rsidRPr="00235614">
          <w:rPr>
            <w:rFonts w:asciiTheme="majorHAnsi" w:hAnsiTheme="majorHAnsi" w:cstheme="majorHAnsi"/>
            <w:sz w:val="16"/>
            <w:szCs w:val="16"/>
            <w:lang w:val="en-US"/>
          </w:rPr>
          <w:t>https://www.nejm.org/doi/pdf/10.1056/NEJMc2004973</w:t>
        </w:r>
      </w:hyperlink>
    </w:p>
  </w:footnote>
  <w:footnote w:id="4">
    <w:p w14:paraId="3B36B49B" w14:textId="633ADEEE" w:rsidR="0057416E" w:rsidRPr="00235614" w:rsidRDefault="0057416E">
      <w:pPr>
        <w:pStyle w:val="Tekstprzypisudolnego"/>
        <w:rPr>
          <w:rFonts w:asciiTheme="majorHAnsi" w:hAnsiTheme="majorHAnsi" w:cstheme="majorHAnsi"/>
          <w:sz w:val="16"/>
          <w:szCs w:val="16"/>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Alex W H Chin, Julie T S Chu, Mahen R A Perera, Kenrie P Y Hui, Hui-Ling Yen, Michael C W Chan, Malik Peiris, Leo L M Poon, Stability of SARS-CoV-2 in different environmental conditions, The Lancet Microbe, 2020 https://www.sciencedirect.com/science/article/pii/S2666524720300033?via%3Dihub</w:t>
      </w:r>
    </w:p>
  </w:footnote>
  <w:footnote w:id="5">
    <w:p w14:paraId="721E3201" w14:textId="3EBF257B" w:rsidR="00487A2F" w:rsidRPr="00235614" w:rsidRDefault="00487A2F" w:rsidP="00487A2F">
      <w:pPr>
        <w:pStyle w:val="Tekstprzypisudolnego"/>
        <w:rPr>
          <w:rFonts w:asciiTheme="majorHAnsi" w:hAnsiTheme="majorHAnsi" w:cstheme="majorHAnsi"/>
          <w:sz w:val="16"/>
          <w:szCs w:val="16"/>
          <w:lang w:val="pl-PL"/>
        </w:rPr>
      </w:pPr>
      <w:r w:rsidRPr="00235614">
        <w:rPr>
          <w:rFonts w:asciiTheme="majorHAnsi" w:hAnsiTheme="majorHAnsi" w:cstheme="majorHAnsi"/>
          <w:sz w:val="16"/>
          <w:szCs w:val="16"/>
          <w:lang w:val="en-US"/>
        </w:rPr>
        <w:footnoteRef/>
      </w:r>
      <w:bookmarkStart w:id="0" w:name="_Hlk38442583"/>
      <w:r w:rsidR="00235614" w:rsidRPr="00235614">
        <w:rPr>
          <w:rFonts w:asciiTheme="majorHAnsi" w:hAnsiTheme="majorHAnsi" w:cstheme="majorHAnsi"/>
          <w:sz w:val="16"/>
          <w:szCs w:val="16"/>
        </w:rPr>
        <w:t>Żywność w dobie pandemii COVID-19 i rozprzestrzeniania się koronawirusa (SARS-CoV-2); badanie sondażowe zrealizowane przez agencję PR Hub i Wydział Nauk o Zdrowiu Warszawskiego Uniwersytetu Medycznego w kwietniu 2020 r., grupa 2 176, metoda CAWI</w:t>
      </w:r>
      <w:bookmarkEnd w:id="0"/>
    </w:p>
  </w:footnote>
  <w:footnote w:id="6">
    <w:p w14:paraId="685E0C7F" w14:textId="1300BEE9" w:rsidR="002F27CD" w:rsidRPr="00235614" w:rsidRDefault="002F27CD">
      <w:pPr>
        <w:pStyle w:val="Tekstprzypisudolnego"/>
        <w:rPr>
          <w:rFonts w:asciiTheme="majorHAnsi" w:hAnsiTheme="majorHAnsi" w:cstheme="majorHAnsi"/>
          <w:sz w:val="16"/>
          <w:szCs w:val="16"/>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Ibidem</w:t>
      </w:r>
    </w:p>
  </w:footnote>
  <w:footnote w:id="7">
    <w:p w14:paraId="0EB6E7B4" w14:textId="2EBB1663" w:rsidR="00EB00FE" w:rsidRPr="00235614" w:rsidRDefault="00EB00FE">
      <w:pPr>
        <w:pStyle w:val="Tekstprzypisudolnego"/>
        <w:rPr>
          <w:rFonts w:asciiTheme="majorHAnsi" w:hAnsiTheme="majorHAnsi" w:cstheme="majorHAnsi"/>
          <w:sz w:val="16"/>
          <w:szCs w:val="16"/>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Shopping for Food During the COVID-19 Pandemic - Information for Consumers: https://www.fda.gov/food/food-safety-during-emergencies/shopping-food-during-covid-19-pandemic-information-consumers</w:t>
      </w:r>
    </w:p>
  </w:footnote>
  <w:footnote w:id="8">
    <w:p w14:paraId="4F06E269" w14:textId="3C738A59" w:rsidR="00EB00FE" w:rsidRPr="00235614" w:rsidRDefault="00EB00FE">
      <w:pPr>
        <w:pStyle w:val="Tekstprzypisudolnego"/>
        <w:rPr>
          <w:rFonts w:asciiTheme="majorHAnsi" w:hAnsiTheme="majorHAnsi" w:cstheme="majorHAnsi"/>
          <w:sz w:val="16"/>
          <w:szCs w:val="16"/>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FDA. Food Safety and the Coronavirus Disease 2019 (COVID-19) [March 17, 2020]</w:t>
      </w:r>
    </w:p>
  </w:footnote>
  <w:footnote w:id="9">
    <w:p w14:paraId="120C0DD4" w14:textId="7BFA35A4" w:rsidR="00A071C3" w:rsidRPr="00235614" w:rsidRDefault="00A071C3" w:rsidP="007A02B5">
      <w:pPr>
        <w:pStyle w:val="Tekstkomentarza"/>
        <w:rPr>
          <w:rFonts w:asciiTheme="majorHAnsi" w:hAnsiTheme="majorHAnsi" w:cstheme="majorHAnsi"/>
          <w:sz w:val="16"/>
          <w:szCs w:val="16"/>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w:t>
      </w:r>
      <w:r w:rsidR="00EB00FE" w:rsidRPr="00235614">
        <w:rPr>
          <w:rFonts w:asciiTheme="majorHAnsi" w:hAnsiTheme="majorHAnsi" w:cstheme="majorHAnsi"/>
          <w:sz w:val="16"/>
          <w:szCs w:val="16"/>
          <w:lang w:val="en-US"/>
        </w:rPr>
        <w:t xml:space="preserve">van Doremalen, N., et al. (2020). "Aerosol and Surface Stability of SARS-CoV-2 as Compared with SARS-CoV-1." New England Journal of Medicine, 382(16): 1564-1567; </w:t>
      </w:r>
      <w:hyperlink r:id="rId2" w:history="1">
        <w:r w:rsidR="00EB00FE" w:rsidRPr="00235614">
          <w:rPr>
            <w:rFonts w:asciiTheme="majorHAnsi" w:hAnsiTheme="majorHAnsi" w:cstheme="majorHAnsi"/>
            <w:sz w:val="16"/>
            <w:szCs w:val="16"/>
            <w:lang w:val="en-US"/>
          </w:rPr>
          <w:t>https://www.nejm.org/doi/pdf/10.1056/NEJMc2004973</w:t>
        </w:r>
      </w:hyperlink>
      <w:r w:rsidR="00EB00FE" w:rsidRPr="00235614">
        <w:rPr>
          <w:rFonts w:asciiTheme="majorHAnsi" w:hAnsiTheme="majorHAnsi" w:cstheme="majorHAnsi"/>
          <w:sz w:val="16"/>
          <w:szCs w:val="16"/>
          <w:lang w:val="en-US"/>
        </w:rPr>
        <w:t xml:space="preserve"> </w:t>
      </w:r>
    </w:p>
  </w:footnote>
  <w:footnote w:id="10">
    <w:p w14:paraId="6335BE65" w14:textId="77777777" w:rsidR="00EB00FE" w:rsidRPr="00235614" w:rsidRDefault="00EB00FE" w:rsidP="00EB00FE">
      <w:pPr>
        <w:pStyle w:val="Tekstprzypisudolnego"/>
        <w:rPr>
          <w:rFonts w:asciiTheme="majorHAnsi" w:hAnsiTheme="majorHAnsi" w:cstheme="majorHAnsi"/>
          <w:sz w:val="16"/>
          <w:szCs w:val="16"/>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WHO. Five keys to safer food manual. Geneva, Switzerland. 2006.</w:t>
      </w:r>
    </w:p>
    <w:p w14:paraId="7CD95961" w14:textId="74257F4B" w:rsidR="00EB00FE" w:rsidRPr="00235614" w:rsidRDefault="00EB00FE" w:rsidP="00EB00FE">
      <w:pPr>
        <w:pStyle w:val="Tekstprzypisudolnego"/>
        <w:rPr>
          <w:rFonts w:asciiTheme="majorHAnsi" w:hAnsiTheme="majorHAnsi" w:cstheme="majorHAnsi"/>
          <w:sz w:val="16"/>
          <w:szCs w:val="16"/>
          <w:lang w:val="en-US"/>
        </w:rPr>
      </w:pPr>
      <w:r w:rsidRPr="00235614">
        <w:rPr>
          <w:rFonts w:asciiTheme="majorHAnsi" w:hAnsiTheme="majorHAnsi" w:cstheme="majorHAnsi"/>
          <w:sz w:val="16"/>
          <w:szCs w:val="16"/>
          <w:lang w:val="en-US"/>
        </w:rPr>
        <w:t>https://apps.who.int/iris/bitstream/handle/10665/43546/9789241594639_eng.pdf?sequence=1</w:t>
      </w:r>
    </w:p>
  </w:footnote>
  <w:footnote w:id="11">
    <w:p w14:paraId="25FBD189" w14:textId="1054B742" w:rsidR="00EB00FE" w:rsidRPr="00235614" w:rsidRDefault="00EB00FE" w:rsidP="00EB00FE">
      <w:pPr>
        <w:pStyle w:val="Tekstprzypisudolnego"/>
        <w:rPr>
          <w:rFonts w:asciiTheme="majorHAnsi" w:hAnsiTheme="majorHAnsi" w:cstheme="majorHAnsi"/>
          <w:sz w:val="16"/>
          <w:szCs w:val="16"/>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Alex W H Chin, Julie T S Chu, Mahen R A Perera, Kenrie P Y Hui, Hui-Ling Yen, Michael C W Chan, Malik Peiris, Leo L M Poon, Stability of SARS-CoV-2 in different environmental conditions, The Lancet Microbe, 2020:</w:t>
      </w:r>
      <w:r w:rsidR="007A02B5" w:rsidRPr="00235614">
        <w:rPr>
          <w:rFonts w:asciiTheme="majorHAnsi" w:hAnsiTheme="majorHAnsi" w:cstheme="majorHAnsi"/>
          <w:sz w:val="16"/>
          <w:szCs w:val="16"/>
          <w:lang w:val="en-US"/>
        </w:rPr>
        <w:t xml:space="preserve"> </w:t>
      </w:r>
      <w:r w:rsidRPr="00235614">
        <w:rPr>
          <w:rFonts w:asciiTheme="majorHAnsi" w:hAnsiTheme="majorHAnsi" w:cstheme="majorHAnsi"/>
          <w:sz w:val="16"/>
          <w:szCs w:val="16"/>
          <w:lang w:val="en-US"/>
        </w:rPr>
        <w:t>https://www.sciencedirect.com/science/article/pii/S2666524720300033?via%3Dihub</w:t>
      </w:r>
    </w:p>
  </w:footnote>
  <w:footnote w:id="12">
    <w:p w14:paraId="3869B16C" w14:textId="07D93875" w:rsidR="007A02B5" w:rsidRPr="007A02B5" w:rsidRDefault="007A02B5" w:rsidP="007A02B5">
      <w:pPr>
        <w:pStyle w:val="Tekstprzypisudolnego"/>
        <w:rPr>
          <w:sz w:val="12"/>
          <w:szCs w:val="12"/>
          <w:lang w:val="en-US"/>
        </w:rPr>
      </w:pPr>
      <w:r w:rsidRPr="00235614">
        <w:rPr>
          <w:rFonts w:asciiTheme="majorHAnsi" w:hAnsiTheme="majorHAnsi" w:cstheme="majorHAnsi"/>
          <w:sz w:val="16"/>
          <w:szCs w:val="16"/>
          <w:lang w:val="en-US"/>
        </w:rPr>
        <w:footnoteRef/>
      </w:r>
      <w:r w:rsidRPr="00235614">
        <w:rPr>
          <w:rFonts w:asciiTheme="majorHAnsi" w:hAnsiTheme="majorHAnsi" w:cstheme="majorHAnsi"/>
          <w:sz w:val="16"/>
          <w:szCs w:val="16"/>
          <w:lang w:val="en-US"/>
        </w:rPr>
        <w:t xml:space="preserve"> van Doremalen, N., et al. (2020). "Aerosol and Surface Stability of SARS-CoV-2 as Compared with SARS-CoV-1." New England Journal of Medicine, 382(16): 1564-1567; https://www.nejm.org/doi/pdf/10.1056/NEJMc2004973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694E" w14:textId="726DDA2E" w:rsidR="0086180F" w:rsidRDefault="00302F43">
    <w:r>
      <w:rPr>
        <w:noProof/>
      </w:rPr>
      <w:drawing>
        <wp:anchor distT="0" distB="0" distL="114300" distR="114300" simplePos="0" relativeHeight="251660288" behindDoc="0" locked="0" layoutInCell="1" allowOverlap="1" wp14:anchorId="7B580CA5" wp14:editId="77E96FC3">
          <wp:simplePos x="0" y="0"/>
          <wp:positionH relativeFrom="margin">
            <wp:posOffset>5514340</wp:posOffset>
          </wp:positionH>
          <wp:positionV relativeFrom="margin">
            <wp:posOffset>-904240</wp:posOffset>
          </wp:positionV>
          <wp:extent cx="590550" cy="590550"/>
          <wp:effectExtent l="0" t="0" r="0" b="0"/>
          <wp:wrapSquare wrapText="bothSides"/>
          <wp:docPr id="5" name="Obraz 5" descr="Obraz zawierający pomieszczenie, znak,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um_alpha_channel_2.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151274">
      <w:rPr>
        <w:noProof/>
      </w:rPr>
      <w:drawing>
        <wp:anchor distT="0" distB="0" distL="0" distR="0" simplePos="0" relativeHeight="251658240" behindDoc="0" locked="0" layoutInCell="1" hidden="0" allowOverlap="1" wp14:anchorId="5CFED349" wp14:editId="36FC7614">
          <wp:simplePos x="0" y="0"/>
          <wp:positionH relativeFrom="margin">
            <wp:posOffset>-902975</wp:posOffset>
          </wp:positionH>
          <wp:positionV relativeFrom="paragraph">
            <wp:posOffset>0</wp:posOffset>
          </wp:positionV>
          <wp:extent cx="7554287" cy="598946"/>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554287" cy="598946"/>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3E4"/>
    <w:multiLevelType w:val="hybridMultilevel"/>
    <w:tmpl w:val="80E44078"/>
    <w:lvl w:ilvl="0" w:tplc="04150001">
      <w:start w:val="1"/>
      <w:numFmt w:val="bullet"/>
      <w:lvlText w:val=""/>
      <w:lvlJc w:val="left"/>
      <w:pPr>
        <w:ind w:left="992" w:hanging="360"/>
      </w:pPr>
      <w:rPr>
        <w:rFonts w:ascii="Symbol" w:hAnsi="Symbol" w:cs="Symbol" w:hint="default"/>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cs="Wingdings" w:hint="default"/>
      </w:rPr>
    </w:lvl>
    <w:lvl w:ilvl="3" w:tplc="04150001" w:tentative="1">
      <w:start w:val="1"/>
      <w:numFmt w:val="bullet"/>
      <w:lvlText w:val=""/>
      <w:lvlJc w:val="left"/>
      <w:pPr>
        <w:ind w:left="3152" w:hanging="360"/>
      </w:pPr>
      <w:rPr>
        <w:rFonts w:ascii="Symbol" w:hAnsi="Symbol" w:cs="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cs="Wingdings" w:hint="default"/>
      </w:rPr>
    </w:lvl>
    <w:lvl w:ilvl="6" w:tplc="04150001" w:tentative="1">
      <w:start w:val="1"/>
      <w:numFmt w:val="bullet"/>
      <w:lvlText w:val=""/>
      <w:lvlJc w:val="left"/>
      <w:pPr>
        <w:ind w:left="5312" w:hanging="360"/>
      </w:pPr>
      <w:rPr>
        <w:rFonts w:ascii="Symbol" w:hAnsi="Symbol" w:cs="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cs="Wingdings" w:hint="default"/>
      </w:rPr>
    </w:lvl>
  </w:abstractNum>
  <w:abstractNum w:abstractNumId="1" w15:restartNumberingAfterBreak="0">
    <w:nsid w:val="03F456BA"/>
    <w:multiLevelType w:val="hybridMultilevel"/>
    <w:tmpl w:val="C0F2821E"/>
    <w:lvl w:ilvl="0" w:tplc="04150001">
      <w:start w:val="1"/>
      <w:numFmt w:val="bullet"/>
      <w:lvlText w:val=""/>
      <w:lvlJc w:val="left"/>
      <w:pPr>
        <w:ind w:left="770" w:hanging="360"/>
      </w:pPr>
      <w:rPr>
        <w:rFonts w:ascii="Symbol" w:hAnsi="Symbol" w:cs="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cs="Wingdings" w:hint="default"/>
      </w:rPr>
    </w:lvl>
    <w:lvl w:ilvl="3" w:tplc="04150001" w:tentative="1">
      <w:start w:val="1"/>
      <w:numFmt w:val="bullet"/>
      <w:lvlText w:val=""/>
      <w:lvlJc w:val="left"/>
      <w:pPr>
        <w:ind w:left="2930" w:hanging="360"/>
      </w:pPr>
      <w:rPr>
        <w:rFonts w:ascii="Symbol" w:hAnsi="Symbol" w:cs="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cs="Wingdings" w:hint="default"/>
      </w:rPr>
    </w:lvl>
    <w:lvl w:ilvl="6" w:tplc="04150001" w:tentative="1">
      <w:start w:val="1"/>
      <w:numFmt w:val="bullet"/>
      <w:lvlText w:val=""/>
      <w:lvlJc w:val="left"/>
      <w:pPr>
        <w:ind w:left="5090" w:hanging="360"/>
      </w:pPr>
      <w:rPr>
        <w:rFonts w:ascii="Symbol" w:hAnsi="Symbol" w:cs="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cs="Wingdings" w:hint="default"/>
      </w:rPr>
    </w:lvl>
  </w:abstractNum>
  <w:abstractNum w:abstractNumId="2" w15:restartNumberingAfterBreak="0">
    <w:nsid w:val="04D05240"/>
    <w:multiLevelType w:val="hybridMultilevel"/>
    <w:tmpl w:val="38188088"/>
    <w:lvl w:ilvl="0" w:tplc="0E5E7280">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727094"/>
    <w:multiLevelType w:val="hybridMultilevel"/>
    <w:tmpl w:val="80FC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736C23"/>
    <w:multiLevelType w:val="hybridMultilevel"/>
    <w:tmpl w:val="8AA8CCD2"/>
    <w:lvl w:ilvl="0" w:tplc="26363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0F"/>
    <w:rsid w:val="00017294"/>
    <w:rsid w:val="00020967"/>
    <w:rsid w:val="00027659"/>
    <w:rsid w:val="00032097"/>
    <w:rsid w:val="000433A5"/>
    <w:rsid w:val="00066228"/>
    <w:rsid w:val="00077F14"/>
    <w:rsid w:val="000967AB"/>
    <w:rsid w:val="000A11BD"/>
    <w:rsid w:val="000E4E65"/>
    <w:rsid w:val="00115ED5"/>
    <w:rsid w:val="001161AF"/>
    <w:rsid w:val="00121B3A"/>
    <w:rsid w:val="00125C1F"/>
    <w:rsid w:val="00125F0D"/>
    <w:rsid w:val="001274FF"/>
    <w:rsid w:val="00151274"/>
    <w:rsid w:val="00154EBB"/>
    <w:rsid w:val="00154F00"/>
    <w:rsid w:val="001744EB"/>
    <w:rsid w:val="00176FB4"/>
    <w:rsid w:val="001B64B8"/>
    <w:rsid w:val="001D34ED"/>
    <w:rsid w:val="001E3DAC"/>
    <w:rsid w:val="0021093F"/>
    <w:rsid w:val="00214972"/>
    <w:rsid w:val="00235614"/>
    <w:rsid w:val="0024295B"/>
    <w:rsid w:val="0025388F"/>
    <w:rsid w:val="002557A6"/>
    <w:rsid w:val="00261A6E"/>
    <w:rsid w:val="002B35D9"/>
    <w:rsid w:val="002B7C80"/>
    <w:rsid w:val="002D1B2D"/>
    <w:rsid w:val="002E1C91"/>
    <w:rsid w:val="002E7D4A"/>
    <w:rsid w:val="002F27CD"/>
    <w:rsid w:val="002F416F"/>
    <w:rsid w:val="00302F43"/>
    <w:rsid w:val="003228C9"/>
    <w:rsid w:val="00326250"/>
    <w:rsid w:val="003317E5"/>
    <w:rsid w:val="00341FFC"/>
    <w:rsid w:val="003431A3"/>
    <w:rsid w:val="00347C71"/>
    <w:rsid w:val="00371CED"/>
    <w:rsid w:val="00381A71"/>
    <w:rsid w:val="003C5AAA"/>
    <w:rsid w:val="003F2D56"/>
    <w:rsid w:val="003F514D"/>
    <w:rsid w:val="004050F1"/>
    <w:rsid w:val="00410805"/>
    <w:rsid w:val="00410BD9"/>
    <w:rsid w:val="00411BA7"/>
    <w:rsid w:val="00452338"/>
    <w:rsid w:val="004646F2"/>
    <w:rsid w:val="00483119"/>
    <w:rsid w:val="00487A2F"/>
    <w:rsid w:val="004A1535"/>
    <w:rsid w:val="004C040A"/>
    <w:rsid w:val="004D636C"/>
    <w:rsid w:val="004E1007"/>
    <w:rsid w:val="004F149A"/>
    <w:rsid w:val="005101AE"/>
    <w:rsid w:val="00512126"/>
    <w:rsid w:val="0054091E"/>
    <w:rsid w:val="005441D5"/>
    <w:rsid w:val="00547DC0"/>
    <w:rsid w:val="0057416E"/>
    <w:rsid w:val="00584E9A"/>
    <w:rsid w:val="005D0A69"/>
    <w:rsid w:val="005E21C8"/>
    <w:rsid w:val="005E5A98"/>
    <w:rsid w:val="005F1160"/>
    <w:rsid w:val="005F7811"/>
    <w:rsid w:val="006136ED"/>
    <w:rsid w:val="00615181"/>
    <w:rsid w:val="00622F20"/>
    <w:rsid w:val="0062695C"/>
    <w:rsid w:val="00640F44"/>
    <w:rsid w:val="00677095"/>
    <w:rsid w:val="00691CD5"/>
    <w:rsid w:val="006D5833"/>
    <w:rsid w:val="007444BA"/>
    <w:rsid w:val="0077504D"/>
    <w:rsid w:val="007950CD"/>
    <w:rsid w:val="007A02B5"/>
    <w:rsid w:val="007A2300"/>
    <w:rsid w:val="007A4E67"/>
    <w:rsid w:val="007C0E4C"/>
    <w:rsid w:val="007C3E96"/>
    <w:rsid w:val="00817527"/>
    <w:rsid w:val="008179DE"/>
    <w:rsid w:val="00822543"/>
    <w:rsid w:val="00823747"/>
    <w:rsid w:val="008305B4"/>
    <w:rsid w:val="008351EF"/>
    <w:rsid w:val="008433F4"/>
    <w:rsid w:val="0086180F"/>
    <w:rsid w:val="00861E78"/>
    <w:rsid w:val="00861FBF"/>
    <w:rsid w:val="008769D2"/>
    <w:rsid w:val="008C3E0D"/>
    <w:rsid w:val="008C53A0"/>
    <w:rsid w:val="008C5707"/>
    <w:rsid w:val="008E3022"/>
    <w:rsid w:val="008E6D7A"/>
    <w:rsid w:val="0090679B"/>
    <w:rsid w:val="00911395"/>
    <w:rsid w:val="00920300"/>
    <w:rsid w:val="00940253"/>
    <w:rsid w:val="00940E96"/>
    <w:rsid w:val="00945903"/>
    <w:rsid w:val="00950BF0"/>
    <w:rsid w:val="009653BE"/>
    <w:rsid w:val="00980279"/>
    <w:rsid w:val="00983109"/>
    <w:rsid w:val="00997693"/>
    <w:rsid w:val="009A5B7B"/>
    <w:rsid w:val="009B54DE"/>
    <w:rsid w:val="009D4076"/>
    <w:rsid w:val="009D4837"/>
    <w:rsid w:val="009E0FB6"/>
    <w:rsid w:val="009E5F40"/>
    <w:rsid w:val="00A071C3"/>
    <w:rsid w:val="00A40224"/>
    <w:rsid w:val="00A90928"/>
    <w:rsid w:val="00A93F86"/>
    <w:rsid w:val="00A95126"/>
    <w:rsid w:val="00AA0822"/>
    <w:rsid w:val="00AB0130"/>
    <w:rsid w:val="00AB0DC6"/>
    <w:rsid w:val="00AB4FC6"/>
    <w:rsid w:val="00AB5309"/>
    <w:rsid w:val="00AC75DA"/>
    <w:rsid w:val="00AD591A"/>
    <w:rsid w:val="00AE7FAE"/>
    <w:rsid w:val="00AF27E2"/>
    <w:rsid w:val="00B01D67"/>
    <w:rsid w:val="00B02560"/>
    <w:rsid w:val="00B52C5B"/>
    <w:rsid w:val="00B74B39"/>
    <w:rsid w:val="00BA0E83"/>
    <w:rsid w:val="00BD4ED8"/>
    <w:rsid w:val="00BD7363"/>
    <w:rsid w:val="00BF5E6E"/>
    <w:rsid w:val="00C01031"/>
    <w:rsid w:val="00C05C2C"/>
    <w:rsid w:val="00C13B59"/>
    <w:rsid w:val="00C16E74"/>
    <w:rsid w:val="00CA35FC"/>
    <w:rsid w:val="00CB5759"/>
    <w:rsid w:val="00CC4F1F"/>
    <w:rsid w:val="00CD4D46"/>
    <w:rsid w:val="00CE35BD"/>
    <w:rsid w:val="00D07973"/>
    <w:rsid w:val="00D263BB"/>
    <w:rsid w:val="00D27572"/>
    <w:rsid w:val="00D542C3"/>
    <w:rsid w:val="00D6710B"/>
    <w:rsid w:val="00D75666"/>
    <w:rsid w:val="00D83863"/>
    <w:rsid w:val="00DD0C96"/>
    <w:rsid w:val="00DF52E5"/>
    <w:rsid w:val="00E02DB5"/>
    <w:rsid w:val="00E036A8"/>
    <w:rsid w:val="00E04325"/>
    <w:rsid w:val="00E07AA0"/>
    <w:rsid w:val="00E1165E"/>
    <w:rsid w:val="00E16F6F"/>
    <w:rsid w:val="00E35DFD"/>
    <w:rsid w:val="00E46D82"/>
    <w:rsid w:val="00E47563"/>
    <w:rsid w:val="00E602A4"/>
    <w:rsid w:val="00E745D4"/>
    <w:rsid w:val="00E86F97"/>
    <w:rsid w:val="00E93F68"/>
    <w:rsid w:val="00E97622"/>
    <w:rsid w:val="00EA0D11"/>
    <w:rsid w:val="00EA4318"/>
    <w:rsid w:val="00EB00FE"/>
    <w:rsid w:val="00EE354A"/>
    <w:rsid w:val="00EE6BEC"/>
    <w:rsid w:val="00EF7C50"/>
    <w:rsid w:val="00F23903"/>
    <w:rsid w:val="00F474D2"/>
    <w:rsid w:val="00F528B4"/>
    <w:rsid w:val="00F52FB2"/>
    <w:rsid w:val="00F600DA"/>
    <w:rsid w:val="00F634BD"/>
    <w:rsid w:val="00F669E9"/>
    <w:rsid w:val="00F72987"/>
    <w:rsid w:val="00FA221C"/>
    <w:rsid w:val="00FA3461"/>
    <w:rsid w:val="00FB6B92"/>
    <w:rsid w:val="00FB6F43"/>
    <w:rsid w:val="00FC0908"/>
    <w:rsid w:val="00FD3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DDF0E"/>
  <w15:docId w15:val="{CC25D024-491C-4E0A-B826-ACF28444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125C1F"/>
    <w:pPr>
      <w:tabs>
        <w:tab w:val="center" w:pos="4536"/>
        <w:tab w:val="right" w:pos="9072"/>
      </w:tabs>
      <w:spacing w:line="240" w:lineRule="auto"/>
    </w:pPr>
  </w:style>
  <w:style w:type="character" w:customStyle="1" w:styleId="NagwekZnak">
    <w:name w:val="Nagłówek Znak"/>
    <w:basedOn w:val="Domylnaczcionkaakapitu"/>
    <w:link w:val="Nagwek"/>
    <w:uiPriority w:val="99"/>
    <w:rsid w:val="00125C1F"/>
  </w:style>
  <w:style w:type="paragraph" w:styleId="Stopka">
    <w:name w:val="footer"/>
    <w:basedOn w:val="Normalny"/>
    <w:link w:val="StopkaZnak"/>
    <w:uiPriority w:val="99"/>
    <w:unhideWhenUsed/>
    <w:rsid w:val="00125C1F"/>
    <w:pPr>
      <w:tabs>
        <w:tab w:val="center" w:pos="4536"/>
        <w:tab w:val="right" w:pos="9072"/>
      </w:tabs>
      <w:spacing w:line="240" w:lineRule="auto"/>
    </w:pPr>
  </w:style>
  <w:style w:type="character" w:customStyle="1" w:styleId="StopkaZnak">
    <w:name w:val="Stopka Znak"/>
    <w:basedOn w:val="Domylnaczcionkaakapitu"/>
    <w:link w:val="Stopka"/>
    <w:uiPriority w:val="99"/>
    <w:rsid w:val="00125C1F"/>
  </w:style>
  <w:style w:type="character" w:styleId="Hipercze">
    <w:name w:val="Hyperlink"/>
    <w:basedOn w:val="Domylnaczcionkaakapitu"/>
    <w:uiPriority w:val="99"/>
    <w:unhideWhenUsed/>
    <w:rsid w:val="0077504D"/>
    <w:rPr>
      <w:color w:val="0000FF"/>
      <w:u w:val="single"/>
    </w:rPr>
  </w:style>
  <w:style w:type="character" w:styleId="Odwoaniedokomentarza">
    <w:name w:val="annotation reference"/>
    <w:basedOn w:val="Domylnaczcionkaakapitu"/>
    <w:uiPriority w:val="99"/>
    <w:semiHidden/>
    <w:unhideWhenUsed/>
    <w:rsid w:val="00EE354A"/>
    <w:rPr>
      <w:sz w:val="16"/>
      <w:szCs w:val="16"/>
    </w:rPr>
  </w:style>
  <w:style w:type="paragraph" w:styleId="Tekstkomentarza">
    <w:name w:val="annotation text"/>
    <w:basedOn w:val="Normalny"/>
    <w:link w:val="TekstkomentarzaZnak"/>
    <w:uiPriority w:val="99"/>
    <w:unhideWhenUsed/>
    <w:rsid w:val="00EE354A"/>
    <w:pPr>
      <w:spacing w:line="240" w:lineRule="auto"/>
    </w:pPr>
    <w:rPr>
      <w:sz w:val="20"/>
      <w:szCs w:val="20"/>
    </w:rPr>
  </w:style>
  <w:style w:type="character" w:customStyle="1" w:styleId="TekstkomentarzaZnak">
    <w:name w:val="Tekst komentarza Znak"/>
    <w:basedOn w:val="Domylnaczcionkaakapitu"/>
    <w:link w:val="Tekstkomentarza"/>
    <w:uiPriority w:val="99"/>
    <w:rsid w:val="00EE354A"/>
    <w:rPr>
      <w:sz w:val="20"/>
      <w:szCs w:val="20"/>
    </w:rPr>
  </w:style>
  <w:style w:type="paragraph" w:styleId="Tematkomentarza">
    <w:name w:val="annotation subject"/>
    <w:basedOn w:val="Tekstkomentarza"/>
    <w:next w:val="Tekstkomentarza"/>
    <w:link w:val="TematkomentarzaZnak"/>
    <w:uiPriority w:val="99"/>
    <w:semiHidden/>
    <w:unhideWhenUsed/>
    <w:rsid w:val="00EE354A"/>
    <w:rPr>
      <w:b/>
      <w:bCs/>
    </w:rPr>
  </w:style>
  <w:style w:type="character" w:customStyle="1" w:styleId="TematkomentarzaZnak">
    <w:name w:val="Temat komentarza Znak"/>
    <w:basedOn w:val="TekstkomentarzaZnak"/>
    <w:link w:val="Tematkomentarza"/>
    <w:uiPriority w:val="99"/>
    <w:semiHidden/>
    <w:rsid w:val="00EE354A"/>
    <w:rPr>
      <w:b/>
      <w:bCs/>
      <w:sz w:val="20"/>
      <w:szCs w:val="20"/>
    </w:rPr>
  </w:style>
  <w:style w:type="paragraph" w:styleId="Tekstdymka">
    <w:name w:val="Balloon Text"/>
    <w:basedOn w:val="Normalny"/>
    <w:link w:val="TekstdymkaZnak"/>
    <w:uiPriority w:val="99"/>
    <w:semiHidden/>
    <w:unhideWhenUsed/>
    <w:rsid w:val="00EE35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54A"/>
    <w:rPr>
      <w:rFonts w:ascii="Segoe UI" w:hAnsi="Segoe UI" w:cs="Segoe UI"/>
      <w:sz w:val="18"/>
      <w:szCs w:val="18"/>
    </w:rPr>
  </w:style>
  <w:style w:type="paragraph" w:styleId="Akapitzlist">
    <w:name w:val="List Paragraph"/>
    <w:basedOn w:val="Normalny"/>
    <w:uiPriority w:val="34"/>
    <w:qFormat/>
    <w:rsid w:val="00326250"/>
    <w:pPr>
      <w:ind w:left="720"/>
      <w:contextualSpacing/>
    </w:pPr>
  </w:style>
  <w:style w:type="paragraph" w:styleId="Tekstprzypisudolnego">
    <w:name w:val="footnote text"/>
    <w:basedOn w:val="Normalny"/>
    <w:link w:val="TekstprzypisudolnegoZnak"/>
    <w:uiPriority w:val="99"/>
    <w:unhideWhenUsed/>
    <w:rsid w:val="00487A2F"/>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487A2F"/>
    <w:rPr>
      <w:sz w:val="20"/>
      <w:szCs w:val="20"/>
    </w:rPr>
  </w:style>
  <w:style w:type="character" w:styleId="Odwoanieprzypisudolnego">
    <w:name w:val="footnote reference"/>
    <w:basedOn w:val="Domylnaczcionkaakapitu"/>
    <w:uiPriority w:val="99"/>
    <w:semiHidden/>
    <w:unhideWhenUsed/>
    <w:rsid w:val="00487A2F"/>
    <w:rPr>
      <w:vertAlign w:val="superscript"/>
    </w:rPr>
  </w:style>
  <w:style w:type="character" w:customStyle="1" w:styleId="tlid-translation">
    <w:name w:val="tlid-translation"/>
    <w:basedOn w:val="Domylnaczcionkaakapitu"/>
    <w:rsid w:val="002B7C80"/>
  </w:style>
  <w:style w:type="paragraph" w:styleId="Tekstprzypisukocowego">
    <w:name w:val="endnote text"/>
    <w:basedOn w:val="Normalny"/>
    <w:link w:val="TekstprzypisukocowegoZnak"/>
    <w:uiPriority w:val="99"/>
    <w:semiHidden/>
    <w:unhideWhenUsed/>
    <w:rsid w:val="00B0256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2560"/>
    <w:rPr>
      <w:sz w:val="20"/>
      <w:szCs w:val="20"/>
    </w:rPr>
  </w:style>
  <w:style w:type="character" w:styleId="Odwoanieprzypisukocowego">
    <w:name w:val="endnote reference"/>
    <w:basedOn w:val="Domylnaczcionkaakapitu"/>
    <w:uiPriority w:val="99"/>
    <w:semiHidden/>
    <w:unhideWhenUsed/>
    <w:rsid w:val="00B02560"/>
    <w:rPr>
      <w:vertAlign w:val="superscript"/>
    </w:rPr>
  </w:style>
  <w:style w:type="character" w:styleId="Nierozpoznanawzmianka">
    <w:name w:val="Unresolved Mention"/>
    <w:basedOn w:val="Domylnaczcionkaakapitu"/>
    <w:uiPriority w:val="99"/>
    <w:semiHidden/>
    <w:unhideWhenUsed/>
    <w:rsid w:val="00F474D2"/>
    <w:rPr>
      <w:color w:val="605E5C"/>
      <w:shd w:val="clear" w:color="auto" w:fill="E1DFDD"/>
    </w:rPr>
  </w:style>
  <w:style w:type="paragraph" w:styleId="Poprawka">
    <w:name w:val="Revision"/>
    <w:hidden/>
    <w:uiPriority w:val="99"/>
    <w:semiHidden/>
    <w:rsid w:val="002B35D9"/>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04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edin.com/company/pr-hub-sp-z-o-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hub.eu"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PRHubagenc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www.nejm.org/doi/pdf/10.1056/NEJMc2004973" TargetMode="External"/><Relationship Id="rId1" Type="http://schemas.openxmlformats.org/officeDocument/2006/relationships/hyperlink" Target="https://www.nejm.org/doi/pdf/10.1056/NEJMc20049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1B5B5723F42B409B91D03014423E07" ma:contentTypeVersion="10" ma:contentTypeDescription="Utwórz nowy dokument." ma:contentTypeScope="" ma:versionID="63a5f5a9fce0abe9a6475be9de847483">
  <xsd:schema xmlns:xsd="http://www.w3.org/2001/XMLSchema" xmlns:xs="http://www.w3.org/2001/XMLSchema" xmlns:p="http://schemas.microsoft.com/office/2006/metadata/properties" xmlns:ns3="296ce9e2-654e-49c2-a96d-7b8896441ff6" targetNamespace="http://schemas.microsoft.com/office/2006/metadata/properties" ma:root="true" ma:fieldsID="0f4fdcdd02974694122367221bf5e635" ns3:_="">
    <xsd:import namespace="296ce9e2-654e-49c2-a96d-7b8896441f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ce9e2-654e-49c2-a96d-7b8896441f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16E0-B684-4836-A80F-3E1A2689DDD4}">
  <ds:schemaRefs>
    <ds:schemaRef ds:uri="http://schemas.microsoft.com/sharepoint/v3/contenttype/forms"/>
  </ds:schemaRefs>
</ds:datastoreItem>
</file>

<file path=customXml/itemProps2.xml><?xml version="1.0" encoding="utf-8"?>
<ds:datastoreItem xmlns:ds="http://schemas.openxmlformats.org/officeDocument/2006/customXml" ds:itemID="{F8E5F30E-0F4B-427B-92A6-5D6BBB41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ce9e2-654e-49c2-a96d-7b8896441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838BC-17D5-4044-9CBF-4713F5D3E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A856C-17AE-4900-90F9-FC17506B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5982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AKRUPSKI</dc:creator>
  <cp:lastModifiedBy>Mariusz Panczyk</cp:lastModifiedBy>
  <cp:revision>2</cp:revision>
  <dcterms:created xsi:type="dcterms:W3CDTF">2020-04-23T08:58:00Z</dcterms:created>
  <dcterms:modified xsi:type="dcterms:W3CDTF">2020-04-23T08:58:00Z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0x010100F41B5B5723F42B409B91D03014423E07</vt:lpwstr>
  </property>
</Properties>
</file>